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F64C692" w14:textId="77777777" w:rsidR="00ED7C1D" w:rsidRDefault="00ED7C1D">
      <w:pPr>
        <w:rPr>
          <w:b/>
          <w:bCs/>
        </w:rPr>
      </w:pPr>
    </w:p>
    <w:p w14:paraId="4822A9DA" w14:textId="77777777" w:rsidR="00ED7C1D" w:rsidRDefault="00ED7C1D">
      <w:pPr>
        <w:jc w:val="center"/>
        <w:rPr>
          <w:b/>
          <w:sz w:val="48"/>
          <w:szCs w:val="48"/>
        </w:rPr>
      </w:pPr>
    </w:p>
    <w:p w14:paraId="74DAEFBA" w14:textId="77777777" w:rsidR="00ED7C1D" w:rsidRDefault="00CD10D1">
      <w:pPr>
        <w:jc w:val="center"/>
        <w:rPr>
          <w:b/>
          <w:sz w:val="48"/>
          <w:szCs w:val="48"/>
        </w:rPr>
      </w:pPr>
      <w:r>
        <w:rPr>
          <w:b/>
          <w:sz w:val="48"/>
          <w:szCs w:val="48"/>
        </w:rPr>
        <w:t xml:space="preserve">ANNEXE III CCAP: </w:t>
      </w:r>
    </w:p>
    <w:p w14:paraId="0E2BA31E" w14:textId="77777777" w:rsidR="00ED7C1D" w:rsidRDefault="00CD10D1">
      <w:pPr>
        <w:jc w:val="center"/>
        <w:rPr>
          <w:b/>
          <w:sz w:val="48"/>
          <w:szCs w:val="48"/>
        </w:rPr>
      </w:pPr>
      <w:r>
        <w:rPr>
          <w:b/>
          <w:sz w:val="48"/>
          <w:szCs w:val="48"/>
        </w:rPr>
        <w:t>Clauses contractuelles du Ministère de l’intérieur relatives à la sous-traitance de données personnelles</w:t>
      </w:r>
    </w:p>
    <w:p w14:paraId="3B1D62C8" w14:textId="77777777" w:rsidR="00ED7C1D" w:rsidRDefault="00ED7C1D"/>
    <w:p w14:paraId="716364ED" w14:textId="77777777" w:rsidR="00ED7C1D" w:rsidRDefault="00ED7C1D"/>
    <w:p w14:paraId="0D23C2E0" w14:textId="77777777" w:rsidR="00ED7C1D" w:rsidRDefault="00ED7C1D">
      <w:pPr>
        <w:suppressAutoHyphens w:val="0"/>
        <w:spacing w:after="0" w:line="240" w:lineRule="auto"/>
        <w:rPr>
          <w:b/>
          <w:bCs/>
        </w:rPr>
      </w:pPr>
    </w:p>
    <w:p w14:paraId="2FF7B8B5" w14:textId="77777777" w:rsidR="00ED7C1D" w:rsidRDefault="00ED7C1D">
      <w:pPr>
        <w:suppressAutoHyphens w:val="0"/>
        <w:spacing w:after="0" w:line="240" w:lineRule="auto"/>
        <w:rPr>
          <w:b/>
          <w:bCs/>
        </w:rPr>
      </w:pPr>
    </w:p>
    <w:p w14:paraId="4D75CD79" w14:textId="77777777" w:rsidR="00ED7C1D" w:rsidRDefault="00ED7C1D">
      <w:pPr>
        <w:suppressAutoHyphens w:val="0"/>
        <w:spacing w:after="0" w:line="240" w:lineRule="auto"/>
        <w:rPr>
          <w:b/>
          <w:bCs/>
        </w:rPr>
      </w:pPr>
    </w:p>
    <w:p w14:paraId="3B586D01" w14:textId="77777777" w:rsidR="00ED7C1D" w:rsidRDefault="00ED7C1D">
      <w:pPr>
        <w:suppressAutoHyphens w:val="0"/>
        <w:spacing w:after="0" w:line="240" w:lineRule="auto"/>
        <w:rPr>
          <w:b/>
          <w:bCs/>
        </w:rPr>
      </w:pPr>
    </w:p>
    <w:p w14:paraId="4A5A953B" w14:textId="77777777" w:rsidR="00ED7C1D" w:rsidRDefault="00CD10D1">
      <w:pPr>
        <w:suppressAutoHyphens w:val="0"/>
        <w:spacing w:after="0" w:line="240" w:lineRule="auto"/>
        <w:rPr>
          <w:b/>
          <w:bCs/>
        </w:rPr>
      </w:pPr>
      <w:r>
        <w:rPr>
          <w:b/>
          <w:bCs/>
        </w:rPr>
        <w:t xml:space="preserve">Relative à l’accord-cadre </w:t>
      </w:r>
      <w:r w:rsidR="00666E79">
        <w:rPr>
          <w:b/>
          <w:bCs/>
        </w:rPr>
        <w:t>ayant pour objet l’assistance technique en matière de pilotage et de mise en hébergement des systèmes d’information (SI) du Ministère de l’Intérieur</w:t>
      </w:r>
      <w:r>
        <w:rPr>
          <w:b/>
          <w:bCs/>
        </w:rPr>
        <w:t>.</w:t>
      </w:r>
    </w:p>
    <w:p w14:paraId="101BD86C" w14:textId="77777777" w:rsidR="00ED7C1D" w:rsidRDefault="00ED7C1D">
      <w:pPr>
        <w:suppressAutoHyphens w:val="0"/>
        <w:spacing w:after="0" w:line="240" w:lineRule="auto"/>
        <w:rPr>
          <w:b/>
          <w:bCs/>
        </w:rPr>
      </w:pPr>
    </w:p>
    <w:p w14:paraId="174A4E80" w14:textId="77777777" w:rsidR="00ED7C1D" w:rsidRDefault="00ED7C1D">
      <w:pPr>
        <w:suppressAutoHyphens w:val="0"/>
        <w:spacing w:after="0" w:line="240" w:lineRule="auto"/>
        <w:rPr>
          <w:b/>
          <w:bCs/>
        </w:rPr>
      </w:pPr>
    </w:p>
    <w:p w14:paraId="18B23EDF" w14:textId="77777777" w:rsidR="00ED7C1D" w:rsidRDefault="00ED7C1D">
      <w:pPr>
        <w:suppressAutoHyphens w:val="0"/>
        <w:spacing w:after="0" w:line="240" w:lineRule="auto"/>
        <w:rPr>
          <w:b/>
          <w:bCs/>
        </w:rPr>
      </w:pPr>
    </w:p>
    <w:p w14:paraId="0922B799" w14:textId="77777777" w:rsidR="00ED7C1D" w:rsidRDefault="00ED7C1D">
      <w:pPr>
        <w:suppressAutoHyphens w:val="0"/>
        <w:spacing w:after="0" w:line="240" w:lineRule="auto"/>
        <w:rPr>
          <w:b/>
          <w:bCs/>
        </w:rPr>
      </w:pPr>
    </w:p>
    <w:p w14:paraId="13EA201B" w14:textId="77777777" w:rsidR="00ED7C1D" w:rsidRDefault="00CD10D1">
      <w:pPr>
        <w:suppressAutoHyphens w:val="0"/>
        <w:spacing w:before="120" w:after="120" w:line="240" w:lineRule="auto"/>
        <w:jc w:val="center"/>
        <w:rPr>
          <w:rFonts w:eastAsia="Times New Roman" w:cs="Arial"/>
          <w:szCs w:val="24"/>
          <w:lang w:eastAsia="fr-FR"/>
        </w:rPr>
      </w:pPr>
      <w:r>
        <w:rPr>
          <w:rFonts w:eastAsia="Times New Roman" w:cs="Arial"/>
          <w:szCs w:val="24"/>
          <w:lang w:eastAsia="fr-FR"/>
        </w:rPr>
        <w:t>Le présent document comporte les quatre annexes suivantes :</w:t>
      </w:r>
    </w:p>
    <w:p w14:paraId="17DE7624" w14:textId="77777777" w:rsidR="00ED7C1D" w:rsidRDefault="00ED7C1D">
      <w:pPr>
        <w:suppressAutoHyphens w:val="0"/>
        <w:spacing w:before="120" w:after="120" w:line="240" w:lineRule="auto"/>
        <w:jc w:val="right"/>
        <w:rPr>
          <w:rFonts w:eastAsia="Times New Roman" w:cs="Arial"/>
          <w:szCs w:val="24"/>
          <w:lang w:eastAsia="fr-FR"/>
        </w:rPr>
      </w:pPr>
    </w:p>
    <w:tbl>
      <w:tblPr>
        <w:tblW w:w="8086" w:type="dxa"/>
        <w:jc w:val="center"/>
        <w:tblLayout w:type="fixed"/>
        <w:tblCellMar>
          <w:left w:w="70" w:type="dxa"/>
          <w:right w:w="70" w:type="dxa"/>
        </w:tblCellMar>
        <w:tblLook w:val="0000" w:firstRow="0" w:lastRow="0" w:firstColumn="0" w:lastColumn="0" w:noHBand="0" w:noVBand="0"/>
      </w:tblPr>
      <w:tblGrid>
        <w:gridCol w:w="1415"/>
        <w:gridCol w:w="6671"/>
      </w:tblGrid>
      <w:tr w:rsidR="00ED7C1D" w14:paraId="6B0CADDE" w14:textId="77777777">
        <w:trPr>
          <w:jc w:val="center"/>
        </w:trPr>
        <w:tc>
          <w:tcPr>
            <w:tcW w:w="1415" w:type="dxa"/>
            <w:tcBorders>
              <w:bottom w:val="single" w:sz="4" w:space="0" w:color="000000"/>
              <w:right w:val="single" w:sz="4" w:space="0" w:color="000000"/>
            </w:tcBorders>
            <w:shd w:val="clear" w:color="auto" w:fill="auto"/>
            <w:vAlign w:val="center"/>
          </w:tcPr>
          <w:p w14:paraId="4C66FDBF" w14:textId="77777777" w:rsidR="00ED7C1D" w:rsidRDefault="00CD10D1">
            <w:pPr>
              <w:suppressAutoHyphens w:val="0"/>
              <w:spacing w:before="60" w:after="60" w:line="240" w:lineRule="auto"/>
              <w:jc w:val="center"/>
              <w:rPr>
                <w:rFonts w:eastAsia="Times New Roman" w:cs="Arial"/>
                <w:bCs/>
                <w:color w:val="000000"/>
                <w:szCs w:val="24"/>
                <w:highlight w:val="lightGray"/>
                <w:lang w:eastAsia="fr-FR"/>
              </w:rPr>
            </w:pPr>
            <w:r>
              <w:rPr>
                <w:rFonts w:eastAsia="Times New Roman" w:cs="Arial"/>
                <w:bCs/>
                <w:color w:val="000000"/>
                <w:szCs w:val="24"/>
                <w:lang w:eastAsia="fr-FR"/>
              </w:rPr>
              <w:t>Annexe 1</w:t>
            </w:r>
          </w:p>
        </w:tc>
        <w:tc>
          <w:tcPr>
            <w:tcW w:w="6670" w:type="dxa"/>
            <w:tcBorders>
              <w:left w:val="single" w:sz="4" w:space="0" w:color="000000"/>
              <w:bottom w:val="single" w:sz="4" w:space="0" w:color="000000"/>
            </w:tcBorders>
            <w:shd w:val="clear" w:color="auto" w:fill="auto"/>
            <w:tcMar>
              <w:left w:w="65" w:type="dxa"/>
            </w:tcMar>
            <w:vAlign w:val="center"/>
          </w:tcPr>
          <w:p w14:paraId="26216AD8" w14:textId="77777777" w:rsidR="00ED7C1D" w:rsidRDefault="00CD10D1">
            <w:pPr>
              <w:suppressAutoHyphens w:val="0"/>
              <w:spacing w:before="60" w:after="60" w:line="240" w:lineRule="auto"/>
              <w:rPr>
                <w:rFonts w:eastAsia="Times New Roman" w:cs="Arial"/>
                <w:bCs/>
                <w:color w:val="000000"/>
                <w:highlight w:val="lightGray"/>
                <w:lang w:eastAsia="fr-FR"/>
              </w:rPr>
            </w:pPr>
            <w:r>
              <w:rPr>
                <w:rFonts w:eastAsia="Times New Roman" w:cs="Arial"/>
                <w:bCs/>
                <w:color w:val="000000"/>
                <w:lang w:eastAsia="fr-FR"/>
              </w:rPr>
              <w:t xml:space="preserve">Liste des parties </w:t>
            </w:r>
          </w:p>
        </w:tc>
      </w:tr>
      <w:tr w:rsidR="00ED7C1D" w14:paraId="7E9B957B" w14:textId="77777777">
        <w:trPr>
          <w:jc w:val="center"/>
        </w:trPr>
        <w:tc>
          <w:tcPr>
            <w:tcW w:w="1415" w:type="dxa"/>
            <w:tcBorders>
              <w:top w:val="single" w:sz="4" w:space="0" w:color="000000"/>
              <w:bottom w:val="single" w:sz="4" w:space="0" w:color="000000"/>
              <w:right w:val="single" w:sz="4" w:space="0" w:color="000000"/>
            </w:tcBorders>
            <w:shd w:val="clear" w:color="auto" w:fill="auto"/>
            <w:vAlign w:val="center"/>
          </w:tcPr>
          <w:p w14:paraId="60770FD6" w14:textId="77777777" w:rsidR="00ED7C1D" w:rsidRDefault="00CD10D1">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Annexe 2</w:t>
            </w:r>
          </w:p>
        </w:tc>
        <w:tc>
          <w:tcPr>
            <w:tcW w:w="6670" w:type="dxa"/>
            <w:tcBorders>
              <w:top w:val="single" w:sz="4" w:space="0" w:color="000000"/>
              <w:left w:val="single" w:sz="4" w:space="0" w:color="000000"/>
              <w:bottom w:val="single" w:sz="4" w:space="0" w:color="000000"/>
            </w:tcBorders>
            <w:shd w:val="clear" w:color="auto" w:fill="auto"/>
            <w:tcMar>
              <w:left w:w="65" w:type="dxa"/>
            </w:tcMar>
            <w:vAlign w:val="center"/>
          </w:tcPr>
          <w:p w14:paraId="52A77E0D" w14:textId="77777777" w:rsidR="00ED7C1D" w:rsidRDefault="00CD10D1">
            <w:pPr>
              <w:suppressAutoHyphens w:val="0"/>
              <w:spacing w:before="60" w:after="60" w:line="240" w:lineRule="auto"/>
              <w:rPr>
                <w:rFonts w:eastAsia="Times New Roman" w:cs="Arial"/>
                <w:lang w:eastAsia="fr-FR"/>
              </w:rPr>
            </w:pPr>
            <w:r>
              <w:rPr>
                <w:rFonts w:eastAsia="Times New Roman" w:cs="Arial"/>
                <w:lang w:eastAsia="fr-FR"/>
              </w:rPr>
              <w:t xml:space="preserve">Description du traitement </w:t>
            </w:r>
          </w:p>
        </w:tc>
      </w:tr>
      <w:tr w:rsidR="00ED7C1D" w14:paraId="670AB030" w14:textId="77777777">
        <w:trPr>
          <w:jc w:val="center"/>
        </w:trPr>
        <w:tc>
          <w:tcPr>
            <w:tcW w:w="1415" w:type="dxa"/>
            <w:tcBorders>
              <w:top w:val="single" w:sz="4" w:space="0" w:color="000000"/>
              <w:bottom w:val="single" w:sz="4" w:space="0" w:color="000000"/>
              <w:right w:val="single" w:sz="4" w:space="0" w:color="000000"/>
            </w:tcBorders>
            <w:shd w:val="clear" w:color="auto" w:fill="auto"/>
            <w:vAlign w:val="center"/>
          </w:tcPr>
          <w:p w14:paraId="31C28AF1" w14:textId="77777777" w:rsidR="00ED7C1D" w:rsidRDefault="00CD10D1">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Annexe 3</w:t>
            </w:r>
          </w:p>
        </w:tc>
        <w:tc>
          <w:tcPr>
            <w:tcW w:w="6670" w:type="dxa"/>
            <w:tcBorders>
              <w:top w:val="single" w:sz="4" w:space="0" w:color="000000"/>
              <w:left w:val="single" w:sz="4" w:space="0" w:color="000000"/>
              <w:bottom w:val="single" w:sz="4" w:space="0" w:color="000000"/>
            </w:tcBorders>
            <w:shd w:val="clear" w:color="auto" w:fill="auto"/>
            <w:tcMar>
              <w:left w:w="65" w:type="dxa"/>
            </w:tcMar>
            <w:vAlign w:val="center"/>
          </w:tcPr>
          <w:p w14:paraId="0F5911C0" w14:textId="77777777" w:rsidR="00ED7C1D" w:rsidRDefault="00CD10D1">
            <w:pPr>
              <w:suppressAutoHyphens w:val="0"/>
              <w:spacing w:before="60" w:after="60" w:line="240" w:lineRule="auto"/>
              <w:rPr>
                <w:rFonts w:eastAsia="Times New Roman" w:cs="Arial"/>
                <w:bCs/>
                <w:color w:val="000000"/>
                <w:lang w:eastAsia="fr-FR"/>
              </w:rPr>
            </w:pPr>
            <w:r>
              <w:rPr>
                <w:rFonts w:eastAsia="Times New Roman" w:cs="Arial"/>
                <w:bCs/>
                <w:color w:val="000000"/>
                <w:lang w:eastAsia="fr-FR"/>
              </w:rPr>
              <w:t xml:space="preserve">Mesures techniques et organisationnelles </w:t>
            </w:r>
          </w:p>
        </w:tc>
      </w:tr>
      <w:tr w:rsidR="00ED7C1D" w14:paraId="1BB375B4" w14:textId="77777777">
        <w:trPr>
          <w:jc w:val="center"/>
        </w:trPr>
        <w:tc>
          <w:tcPr>
            <w:tcW w:w="1415" w:type="dxa"/>
            <w:tcBorders>
              <w:top w:val="single" w:sz="4" w:space="0" w:color="000000"/>
              <w:right w:val="single" w:sz="4" w:space="0" w:color="000000"/>
            </w:tcBorders>
            <w:shd w:val="clear" w:color="auto" w:fill="auto"/>
            <w:vAlign w:val="center"/>
          </w:tcPr>
          <w:p w14:paraId="20161F8B" w14:textId="77777777" w:rsidR="00ED7C1D" w:rsidRDefault="00CD10D1">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Annexe 4</w:t>
            </w:r>
          </w:p>
        </w:tc>
        <w:tc>
          <w:tcPr>
            <w:tcW w:w="6670" w:type="dxa"/>
            <w:tcBorders>
              <w:top w:val="single" w:sz="4" w:space="0" w:color="000000"/>
              <w:left w:val="single" w:sz="4" w:space="0" w:color="000000"/>
            </w:tcBorders>
            <w:shd w:val="clear" w:color="auto" w:fill="auto"/>
            <w:tcMar>
              <w:left w:w="65" w:type="dxa"/>
            </w:tcMar>
            <w:vAlign w:val="center"/>
          </w:tcPr>
          <w:p w14:paraId="0BC4E5E0" w14:textId="77777777" w:rsidR="00ED7C1D" w:rsidRDefault="00CD10D1">
            <w:pPr>
              <w:suppressAutoHyphens w:val="0"/>
              <w:spacing w:before="60" w:after="60" w:line="240" w:lineRule="auto"/>
              <w:rPr>
                <w:rFonts w:eastAsia="Times New Roman" w:cs="Arial"/>
                <w:bCs/>
                <w:color w:val="000000"/>
                <w:lang w:eastAsia="fr-FR"/>
              </w:rPr>
            </w:pPr>
            <w:r>
              <w:rPr>
                <w:rFonts w:eastAsia="Times New Roman" w:cs="Arial"/>
                <w:bCs/>
                <w:color w:val="000000"/>
                <w:lang w:eastAsia="fr-FR"/>
              </w:rPr>
              <w:t xml:space="preserve">Liste des sous-traitants ultérieurs </w:t>
            </w:r>
          </w:p>
        </w:tc>
      </w:tr>
    </w:tbl>
    <w:p w14:paraId="4EB73E20" w14:textId="77777777" w:rsidR="00ED7C1D" w:rsidRDefault="00CD10D1">
      <w:pPr>
        <w:suppressAutoHyphens w:val="0"/>
        <w:spacing w:after="0" w:line="240" w:lineRule="auto"/>
        <w:rPr>
          <w:b/>
          <w:bCs/>
        </w:rPr>
      </w:pPr>
      <w:r>
        <w:br w:type="page"/>
      </w:r>
    </w:p>
    <w:p w14:paraId="66D73341" w14:textId="77777777" w:rsidR="00ED7C1D" w:rsidRDefault="00ED7C1D"/>
    <w:sdt>
      <w:sdtPr>
        <w:rPr>
          <w:rFonts w:ascii="Arial" w:eastAsia="Calibri" w:hAnsi="Arial" w:cs="Calibri"/>
          <w:color w:val="auto"/>
          <w:sz w:val="22"/>
          <w:szCs w:val="22"/>
          <w:lang w:eastAsia="zh-CN"/>
        </w:rPr>
        <w:id w:val="-1999563297"/>
        <w:docPartObj>
          <w:docPartGallery w:val="Table of Contents"/>
          <w:docPartUnique/>
        </w:docPartObj>
      </w:sdtPr>
      <w:sdtEndPr/>
      <w:sdtContent>
        <w:p w14:paraId="68D63873" w14:textId="77777777" w:rsidR="00ED7C1D" w:rsidRDefault="00CD10D1">
          <w:pPr>
            <w:pStyle w:val="En-ttedetabledesmatires"/>
            <w:ind w:left="0" w:firstLine="0"/>
            <w:jc w:val="center"/>
            <w:rPr>
              <w:rFonts w:asciiTheme="minorHAnsi" w:hAnsiTheme="minorHAnsi" w:cstheme="minorHAnsi"/>
              <w:b/>
              <w:color w:val="auto"/>
              <w:sz w:val="36"/>
            </w:rPr>
          </w:pPr>
          <w:r>
            <w:rPr>
              <w:rFonts w:asciiTheme="minorHAnsi" w:hAnsiTheme="minorHAnsi" w:cstheme="minorHAnsi"/>
              <w:b/>
              <w:color w:val="auto"/>
              <w:sz w:val="36"/>
            </w:rPr>
            <w:t>SOMMAIRE</w:t>
          </w:r>
        </w:p>
        <w:p w14:paraId="7D408CEF" w14:textId="77777777" w:rsidR="00ED7C1D" w:rsidRDefault="00CD10D1">
          <w:pPr>
            <w:pStyle w:val="TM1"/>
            <w:tabs>
              <w:tab w:val="right" w:leader="dot" w:pos="9062"/>
            </w:tabs>
            <w:rPr>
              <w:rFonts w:eastAsiaTheme="minorEastAsia" w:cstheme="minorBidi"/>
              <w:b w:val="0"/>
              <w:bCs w:val="0"/>
              <w:caps w:val="0"/>
              <w:sz w:val="22"/>
              <w:szCs w:val="22"/>
              <w:lang w:eastAsia="fr-FR"/>
            </w:rPr>
          </w:pPr>
          <w:r>
            <w:fldChar w:fldCharType="begin"/>
          </w:r>
          <w:r>
            <w:rPr>
              <w:rStyle w:val="Sautdindex"/>
              <w:webHidden/>
              <w:lang w:bidi="hi-IN"/>
            </w:rPr>
            <w:instrText xml:space="preserve"> TOC \z \o "1-3" \u \h</w:instrText>
          </w:r>
          <w:r>
            <w:rPr>
              <w:rStyle w:val="Sautdindex"/>
              <w:lang w:bidi="hi-IN"/>
            </w:rPr>
            <w:fldChar w:fldCharType="separate"/>
          </w:r>
          <w:hyperlink w:anchor="_Toc178606552">
            <w:r>
              <w:rPr>
                <w:rStyle w:val="Sautdindex"/>
                <w:webHidden/>
                <w:lang w:bidi="hi-IN"/>
              </w:rPr>
              <w:t>Introduction</w:t>
            </w:r>
            <w:r>
              <w:rPr>
                <w:webHidden/>
              </w:rPr>
              <w:fldChar w:fldCharType="begin"/>
            </w:r>
            <w:r>
              <w:rPr>
                <w:webHidden/>
              </w:rPr>
              <w:instrText>PAGEREF _Toc178606552 \h</w:instrText>
            </w:r>
            <w:r>
              <w:rPr>
                <w:webHidden/>
              </w:rPr>
            </w:r>
            <w:r>
              <w:rPr>
                <w:webHidden/>
              </w:rPr>
              <w:fldChar w:fldCharType="separate"/>
            </w:r>
            <w:r>
              <w:rPr>
                <w:rStyle w:val="Sautdindex"/>
              </w:rPr>
              <w:tab/>
              <w:t>2</w:t>
            </w:r>
            <w:r>
              <w:rPr>
                <w:webHidden/>
              </w:rPr>
              <w:fldChar w:fldCharType="end"/>
            </w:r>
          </w:hyperlink>
        </w:p>
        <w:p w14:paraId="306BA203" w14:textId="77777777" w:rsidR="00ED7C1D" w:rsidRDefault="00D10902">
          <w:pPr>
            <w:pStyle w:val="TM1"/>
            <w:tabs>
              <w:tab w:val="right" w:leader="dot" w:pos="9062"/>
            </w:tabs>
            <w:rPr>
              <w:rFonts w:eastAsiaTheme="minorEastAsia" w:cstheme="minorBidi"/>
              <w:b w:val="0"/>
              <w:bCs w:val="0"/>
              <w:caps w:val="0"/>
              <w:sz w:val="22"/>
              <w:szCs w:val="22"/>
              <w:lang w:eastAsia="fr-FR"/>
            </w:rPr>
          </w:pPr>
          <w:hyperlink w:anchor="_Toc178606553">
            <w:r w:rsidR="00CD10D1">
              <w:rPr>
                <w:rStyle w:val="Sautdindex"/>
                <w:webHidden/>
                <w:lang w:bidi="hi-IN"/>
              </w:rPr>
              <w:t>SECTION I – Généralités</w:t>
            </w:r>
            <w:r w:rsidR="00CD10D1">
              <w:rPr>
                <w:webHidden/>
              </w:rPr>
              <w:fldChar w:fldCharType="begin"/>
            </w:r>
            <w:r w:rsidR="00CD10D1">
              <w:rPr>
                <w:webHidden/>
              </w:rPr>
              <w:instrText>PAGEREF _Toc178606553 \h</w:instrText>
            </w:r>
            <w:r w:rsidR="00CD10D1">
              <w:rPr>
                <w:webHidden/>
              </w:rPr>
            </w:r>
            <w:r w:rsidR="00CD10D1">
              <w:rPr>
                <w:webHidden/>
              </w:rPr>
              <w:fldChar w:fldCharType="separate"/>
            </w:r>
            <w:r w:rsidR="00CD10D1">
              <w:rPr>
                <w:rStyle w:val="Sautdindex"/>
              </w:rPr>
              <w:tab/>
              <w:t>5</w:t>
            </w:r>
            <w:r w:rsidR="00CD10D1">
              <w:rPr>
                <w:webHidden/>
              </w:rPr>
              <w:fldChar w:fldCharType="end"/>
            </w:r>
          </w:hyperlink>
        </w:p>
        <w:p w14:paraId="2C332A3A" w14:textId="77777777" w:rsidR="00ED7C1D" w:rsidRDefault="00D10902">
          <w:pPr>
            <w:pStyle w:val="TM2"/>
            <w:tabs>
              <w:tab w:val="right" w:leader="dot" w:pos="9062"/>
            </w:tabs>
            <w:rPr>
              <w:rFonts w:eastAsiaTheme="minorEastAsia" w:cstheme="minorBidi"/>
              <w:smallCaps w:val="0"/>
              <w:sz w:val="22"/>
              <w:szCs w:val="22"/>
              <w:lang w:eastAsia="fr-FR"/>
            </w:rPr>
          </w:pPr>
          <w:hyperlink w:anchor="_Toc178606554">
            <w:r w:rsidR="00CD10D1">
              <w:rPr>
                <w:rStyle w:val="Sautdindex"/>
                <w:webHidden/>
                <w:lang w:bidi="hi-IN"/>
              </w:rPr>
              <w:t>Clause 1 : Objet et champ d’application</w:t>
            </w:r>
            <w:r w:rsidR="00CD10D1">
              <w:rPr>
                <w:webHidden/>
              </w:rPr>
              <w:fldChar w:fldCharType="begin"/>
            </w:r>
            <w:r w:rsidR="00CD10D1">
              <w:rPr>
                <w:webHidden/>
              </w:rPr>
              <w:instrText>PAGEREF _Toc178606554 \h</w:instrText>
            </w:r>
            <w:r w:rsidR="00CD10D1">
              <w:rPr>
                <w:webHidden/>
              </w:rPr>
            </w:r>
            <w:r w:rsidR="00CD10D1">
              <w:rPr>
                <w:webHidden/>
              </w:rPr>
              <w:fldChar w:fldCharType="separate"/>
            </w:r>
            <w:r w:rsidR="00CD10D1">
              <w:rPr>
                <w:rStyle w:val="Sautdindex"/>
              </w:rPr>
              <w:tab/>
              <w:t>5</w:t>
            </w:r>
            <w:r w:rsidR="00CD10D1">
              <w:rPr>
                <w:webHidden/>
              </w:rPr>
              <w:fldChar w:fldCharType="end"/>
            </w:r>
          </w:hyperlink>
        </w:p>
        <w:p w14:paraId="41E7C471" w14:textId="77777777" w:rsidR="00ED7C1D" w:rsidRDefault="00D10902">
          <w:pPr>
            <w:pStyle w:val="TM2"/>
            <w:tabs>
              <w:tab w:val="right" w:leader="dot" w:pos="9062"/>
            </w:tabs>
            <w:rPr>
              <w:rFonts w:eastAsiaTheme="minorEastAsia" w:cstheme="minorBidi"/>
              <w:smallCaps w:val="0"/>
              <w:sz w:val="22"/>
              <w:szCs w:val="22"/>
              <w:lang w:eastAsia="fr-FR"/>
            </w:rPr>
          </w:pPr>
          <w:hyperlink w:anchor="_Toc178606555">
            <w:r w:rsidR="00CD10D1">
              <w:rPr>
                <w:rStyle w:val="Sautdindex"/>
                <w:webHidden/>
                <w:lang w:bidi="hi-IN"/>
              </w:rPr>
              <w:t>Clause 2 : Invariabilité des clauses</w:t>
            </w:r>
            <w:r w:rsidR="00CD10D1">
              <w:rPr>
                <w:webHidden/>
              </w:rPr>
              <w:fldChar w:fldCharType="begin"/>
            </w:r>
            <w:r w:rsidR="00CD10D1">
              <w:rPr>
                <w:webHidden/>
              </w:rPr>
              <w:instrText>PAGEREF _Toc178606555 \h</w:instrText>
            </w:r>
            <w:r w:rsidR="00CD10D1">
              <w:rPr>
                <w:webHidden/>
              </w:rPr>
            </w:r>
            <w:r w:rsidR="00CD10D1">
              <w:rPr>
                <w:webHidden/>
              </w:rPr>
              <w:fldChar w:fldCharType="separate"/>
            </w:r>
            <w:r w:rsidR="00CD10D1">
              <w:rPr>
                <w:rStyle w:val="Sautdindex"/>
              </w:rPr>
              <w:tab/>
              <w:t>5</w:t>
            </w:r>
            <w:r w:rsidR="00CD10D1">
              <w:rPr>
                <w:webHidden/>
              </w:rPr>
              <w:fldChar w:fldCharType="end"/>
            </w:r>
          </w:hyperlink>
        </w:p>
        <w:p w14:paraId="736806ED" w14:textId="77777777" w:rsidR="00ED7C1D" w:rsidRDefault="00D10902">
          <w:pPr>
            <w:pStyle w:val="TM2"/>
            <w:tabs>
              <w:tab w:val="right" w:leader="dot" w:pos="9062"/>
            </w:tabs>
            <w:rPr>
              <w:rFonts w:eastAsiaTheme="minorEastAsia" w:cstheme="minorBidi"/>
              <w:smallCaps w:val="0"/>
              <w:sz w:val="22"/>
              <w:szCs w:val="22"/>
              <w:lang w:eastAsia="fr-FR"/>
            </w:rPr>
          </w:pPr>
          <w:hyperlink w:anchor="_Toc178606556">
            <w:r w:rsidR="00CD10D1">
              <w:rPr>
                <w:rStyle w:val="Sautdindex"/>
                <w:webHidden/>
                <w:lang w:bidi="hi-IN"/>
              </w:rPr>
              <w:t>Clause 3 : Interprétation</w:t>
            </w:r>
            <w:r w:rsidR="00CD10D1">
              <w:rPr>
                <w:webHidden/>
              </w:rPr>
              <w:fldChar w:fldCharType="begin"/>
            </w:r>
            <w:r w:rsidR="00CD10D1">
              <w:rPr>
                <w:webHidden/>
              </w:rPr>
              <w:instrText>PAGEREF _Toc178606556 \h</w:instrText>
            </w:r>
            <w:r w:rsidR="00CD10D1">
              <w:rPr>
                <w:webHidden/>
              </w:rPr>
            </w:r>
            <w:r w:rsidR="00CD10D1">
              <w:rPr>
                <w:webHidden/>
              </w:rPr>
              <w:fldChar w:fldCharType="separate"/>
            </w:r>
            <w:r w:rsidR="00CD10D1">
              <w:rPr>
                <w:rStyle w:val="Sautdindex"/>
              </w:rPr>
              <w:tab/>
              <w:t>5</w:t>
            </w:r>
            <w:r w:rsidR="00CD10D1">
              <w:rPr>
                <w:webHidden/>
              </w:rPr>
              <w:fldChar w:fldCharType="end"/>
            </w:r>
          </w:hyperlink>
        </w:p>
        <w:p w14:paraId="78DEB72B" w14:textId="77777777" w:rsidR="00ED7C1D" w:rsidRDefault="00D10902">
          <w:pPr>
            <w:pStyle w:val="TM2"/>
            <w:tabs>
              <w:tab w:val="right" w:leader="dot" w:pos="9062"/>
            </w:tabs>
            <w:rPr>
              <w:rFonts w:eastAsiaTheme="minorEastAsia" w:cstheme="minorBidi"/>
              <w:smallCaps w:val="0"/>
              <w:sz w:val="22"/>
              <w:szCs w:val="22"/>
              <w:lang w:eastAsia="fr-FR"/>
            </w:rPr>
          </w:pPr>
          <w:hyperlink w:anchor="_Toc178606557">
            <w:r w:rsidR="00CD10D1">
              <w:rPr>
                <w:rStyle w:val="Sautdindex"/>
                <w:webHidden/>
                <w:lang w:bidi="hi-IN"/>
              </w:rPr>
              <w:t>Clause 4 : Hiérarchie</w:t>
            </w:r>
            <w:r w:rsidR="00CD10D1">
              <w:rPr>
                <w:webHidden/>
              </w:rPr>
              <w:fldChar w:fldCharType="begin"/>
            </w:r>
            <w:r w:rsidR="00CD10D1">
              <w:rPr>
                <w:webHidden/>
              </w:rPr>
              <w:instrText>PAGEREF _Toc178606557 \h</w:instrText>
            </w:r>
            <w:r w:rsidR="00CD10D1">
              <w:rPr>
                <w:webHidden/>
              </w:rPr>
            </w:r>
            <w:r w:rsidR="00CD10D1">
              <w:rPr>
                <w:webHidden/>
              </w:rPr>
              <w:fldChar w:fldCharType="separate"/>
            </w:r>
            <w:r w:rsidR="00CD10D1">
              <w:rPr>
                <w:rStyle w:val="Sautdindex"/>
              </w:rPr>
              <w:tab/>
              <w:t>6</w:t>
            </w:r>
            <w:r w:rsidR="00CD10D1">
              <w:rPr>
                <w:webHidden/>
              </w:rPr>
              <w:fldChar w:fldCharType="end"/>
            </w:r>
          </w:hyperlink>
        </w:p>
        <w:p w14:paraId="1325DD3E" w14:textId="77777777" w:rsidR="00ED7C1D" w:rsidRDefault="00D10902">
          <w:pPr>
            <w:pStyle w:val="TM1"/>
            <w:tabs>
              <w:tab w:val="right" w:leader="dot" w:pos="9062"/>
            </w:tabs>
            <w:rPr>
              <w:rFonts w:eastAsiaTheme="minorEastAsia" w:cstheme="minorBidi"/>
              <w:b w:val="0"/>
              <w:bCs w:val="0"/>
              <w:caps w:val="0"/>
              <w:sz w:val="22"/>
              <w:szCs w:val="22"/>
              <w:lang w:eastAsia="fr-FR"/>
            </w:rPr>
          </w:pPr>
          <w:hyperlink w:anchor="_Toc178606558">
            <w:r w:rsidR="00CD10D1">
              <w:rPr>
                <w:rStyle w:val="Sautdindex"/>
                <w:webHidden/>
                <w:lang w:eastAsia="fr-FR" w:bidi="hi-IN"/>
              </w:rPr>
              <w:t>SECTION II - OBLIGATIONS DES PARTIES</w:t>
            </w:r>
            <w:r w:rsidR="00CD10D1">
              <w:rPr>
                <w:webHidden/>
              </w:rPr>
              <w:fldChar w:fldCharType="begin"/>
            </w:r>
            <w:r w:rsidR="00CD10D1">
              <w:rPr>
                <w:webHidden/>
              </w:rPr>
              <w:instrText>PAGEREF _Toc178606558 \h</w:instrText>
            </w:r>
            <w:r w:rsidR="00CD10D1">
              <w:rPr>
                <w:webHidden/>
              </w:rPr>
            </w:r>
            <w:r w:rsidR="00CD10D1">
              <w:rPr>
                <w:webHidden/>
              </w:rPr>
              <w:fldChar w:fldCharType="separate"/>
            </w:r>
            <w:r w:rsidR="00CD10D1">
              <w:rPr>
                <w:rStyle w:val="Sautdindex"/>
              </w:rPr>
              <w:tab/>
              <w:t>6</w:t>
            </w:r>
            <w:r w:rsidR="00CD10D1">
              <w:rPr>
                <w:webHidden/>
              </w:rPr>
              <w:fldChar w:fldCharType="end"/>
            </w:r>
          </w:hyperlink>
        </w:p>
        <w:p w14:paraId="2EA5474D" w14:textId="77777777" w:rsidR="00ED7C1D" w:rsidRDefault="00D10902">
          <w:pPr>
            <w:pStyle w:val="TM2"/>
            <w:tabs>
              <w:tab w:val="right" w:leader="dot" w:pos="9062"/>
            </w:tabs>
            <w:rPr>
              <w:rFonts w:eastAsiaTheme="minorEastAsia" w:cstheme="minorBidi"/>
              <w:smallCaps w:val="0"/>
              <w:sz w:val="22"/>
              <w:szCs w:val="22"/>
              <w:lang w:eastAsia="fr-FR"/>
            </w:rPr>
          </w:pPr>
          <w:hyperlink w:anchor="_Toc178606559">
            <w:r w:rsidR="00CD10D1">
              <w:rPr>
                <w:rStyle w:val="Sautdindex"/>
                <w:webHidden/>
                <w:lang w:bidi="hi-IN"/>
              </w:rPr>
              <w:t>Clause 5 : Description du ou des traitements</w:t>
            </w:r>
            <w:r w:rsidR="00CD10D1">
              <w:rPr>
                <w:webHidden/>
              </w:rPr>
              <w:fldChar w:fldCharType="begin"/>
            </w:r>
            <w:r w:rsidR="00CD10D1">
              <w:rPr>
                <w:webHidden/>
              </w:rPr>
              <w:instrText>PAGEREF _Toc178606559 \h</w:instrText>
            </w:r>
            <w:r w:rsidR="00CD10D1">
              <w:rPr>
                <w:webHidden/>
              </w:rPr>
            </w:r>
            <w:r w:rsidR="00CD10D1">
              <w:rPr>
                <w:webHidden/>
              </w:rPr>
              <w:fldChar w:fldCharType="separate"/>
            </w:r>
            <w:r w:rsidR="00CD10D1">
              <w:rPr>
                <w:rStyle w:val="Sautdindex"/>
              </w:rPr>
              <w:tab/>
              <w:t>6</w:t>
            </w:r>
            <w:r w:rsidR="00CD10D1">
              <w:rPr>
                <w:webHidden/>
              </w:rPr>
              <w:fldChar w:fldCharType="end"/>
            </w:r>
          </w:hyperlink>
        </w:p>
        <w:p w14:paraId="15AD1C28" w14:textId="77777777" w:rsidR="00ED7C1D" w:rsidRDefault="00D10902">
          <w:pPr>
            <w:pStyle w:val="TM2"/>
            <w:tabs>
              <w:tab w:val="right" w:leader="dot" w:pos="9062"/>
            </w:tabs>
            <w:rPr>
              <w:rFonts w:eastAsiaTheme="minorEastAsia" w:cstheme="minorBidi"/>
              <w:smallCaps w:val="0"/>
              <w:sz w:val="22"/>
              <w:szCs w:val="22"/>
              <w:lang w:eastAsia="fr-FR"/>
            </w:rPr>
          </w:pPr>
          <w:hyperlink w:anchor="_Toc178606560">
            <w:r w:rsidR="00CD10D1">
              <w:rPr>
                <w:rStyle w:val="Sautdindex"/>
                <w:webHidden/>
                <w:lang w:bidi="hi-IN"/>
              </w:rPr>
              <w:t>Clause 6 : Obligations des parties</w:t>
            </w:r>
            <w:r w:rsidR="00CD10D1">
              <w:rPr>
                <w:webHidden/>
              </w:rPr>
              <w:fldChar w:fldCharType="begin"/>
            </w:r>
            <w:r w:rsidR="00CD10D1">
              <w:rPr>
                <w:webHidden/>
              </w:rPr>
              <w:instrText>PAGEREF _Toc178606560 \h</w:instrText>
            </w:r>
            <w:r w:rsidR="00CD10D1">
              <w:rPr>
                <w:webHidden/>
              </w:rPr>
            </w:r>
            <w:r w:rsidR="00CD10D1">
              <w:rPr>
                <w:webHidden/>
              </w:rPr>
              <w:fldChar w:fldCharType="separate"/>
            </w:r>
            <w:r w:rsidR="00CD10D1">
              <w:rPr>
                <w:rStyle w:val="Sautdindex"/>
              </w:rPr>
              <w:tab/>
              <w:t>6</w:t>
            </w:r>
            <w:r w:rsidR="00CD10D1">
              <w:rPr>
                <w:webHidden/>
              </w:rPr>
              <w:fldChar w:fldCharType="end"/>
            </w:r>
          </w:hyperlink>
        </w:p>
        <w:p w14:paraId="2D1DF370"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61">
            <w:r w:rsidR="00CD10D1">
              <w:rPr>
                <w:rStyle w:val="Sautdindex"/>
                <w:webHidden/>
              </w:rPr>
              <w:t>6.1.   Instructions</w:t>
            </w:r>
            <w:r w:rsidR="00CD10D1">
              <w:rPr>
                <w:webHidden/>
              </w:rPr>
              <w:fldChar w:fldCharType="begin"/>
            </w:r>
            <w:r w:rsidR="00CD10D1">
              <w:rPr>
                <w:webHidden/>
              </w:rPr>
              <w:instrText>PAGEREF _Toc178606561 \h</w:instrText>
            </w:r>
            <w:r w:rsidR="00CD10D1">
              <w:rPr>
                <w:webHidden/>
              </w:rPr>
            </w:r>
            <w:r w:rsidR="00CD10D1">
              <w:rPr>
                <w:webHidden/>
              </w:rPr>
              <w:fldChar w:fldCharType="separate"/>
            </w:r>
            <w:r w:rsidR="00CD10D1">
              <w:rPr>
                <w:rStyle w:val="Sautdindex"/>
              </w:rPr>
              <w:tab/>
              <w:t>6</w:t>
            </w:r>
            <w:r w:rsidR="00CD10D1">
              <w:rPr>
                <w:webHidden/>
              </w:rPr>
              <w:fldChar w:fldCharType="end"/>
            </w:r>
          </w:hyperlink>
        </w:p>
        <w:p w14:paraId="7110DF69"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62">
            <w:r w:rsidR="00CD10D1">
              <w:rPr>
                <w:rStyle w:val="Sautdindex"/>
                <w:webHidden/>
              </w:rPr>
              <w:t>6.2.   Limitation de la finalité</w:t>
            </w:r>
            <w:r w:rsidR="00CD10D1">
              <w:rPr>
                <w:webHidden/>
              </w:rPr>
              <w:fldChar w:fldCharType="begin"/>
            </w:r>
            <w:r w:rsidR="00CD10D1">
              <w:rPr>
                <w:webHidden/>
              </w:rPr>
              <w:instrText>PAGEREF _Toc178606562 \h</w:instrText>
            </w:r>
            <w:r w:rsidR="00CD10D1">
              <w:rPr>
                <w:webHidden/>
              </w:rPr>
            </w:r>
            <w:r w:rsidR="00CD10D1">
              <w:rPr>
                <w:webHidden/>
              </w:rPr>
              <w:fldChar w:fldCharType="separate"/>
            </w:r>
            <w:r w:rsidR="00CD10D1">
              <w:rPr>
                <w:rStyle w:val="Sautdindex"/>
              </w:rPr>
              <w:tab/>
              <w:t>6</w:t>
            </w:r>
            <w:r w:rsidR="00CD10D1">
              <w:rPr>
                <w:webHidden/>
              </w:rPr>
              <w:fldChar w:fldCharType="end"/>
            </w:r>
          </w:hyperlink>
        </w:p>
        <w:p w14:paraId="2F57A32D"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63">
            <w:r w:rsidR="00CD10D1">
              <w:rPr>
                <w:rStyle w:val="Sautdindex"/>
                <w:webHidden/>
              </w:rPr>
              <w:t>6.3.   Durée du traitement des données à caractère personnel</w:t>
            </w:r>
            <w:r w:rsidR="00CD10D1">
              <w:rPr>
                <w:webHidden/>
              </w:rPr>
              <w:fldChar w:fldCharType="begin"/>
            </w:r>
            <w:r w:rsidR="00CD10D1">
              <w:rPr>
                <w:webHidden/>
              </w:rPr>
              <w:instrText>PAGEREF _Toc178606563 \h</w:instrText>
            </w:r>
            <w:r w:rsidR="00CD10D1">
              <w:rPr>
                <w:webHidden/>
              </w:rPr>
            </w:r>
            <w:r w:rsidR="00CD10D1">
              <w:rPr>
                <w:webHidden/>
              </w:rPr>
              <w:fldChar w:fldCharType="separate"/>
            </w:r>
            <w:r w:rsidR="00CD10D1">
              <w:rPr>
                <w:rStyle w:val="Sautdindex"/>
              </w:rPr>
              <w:tab/>
              <w:t>6</w:t>
            </w:r>
            <w:r w:rsidR="00CD10D1">
              <w:rPr>
                <w:webHidden/>
              </w:rPr>
              <w:fldChar w:fldCharType="end"/>
            </w:r>
          </w:hyperlink>
        </w:p>
        <w:p w14:paraId="501BBBB4"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64">
            <w:r w:rsidR="00CD10D1">
              <w:rPr>
                <w:rStyle w:val="Sautdindex"/>
                <w:webHidden/>
              </w:rPr>
              <w:t>6.4.   Sécurité du traitement</w:t>
            </w:r>
            <w:r w:rsidR="00CD10D1">
              <w:rPr>
                <w:webHidden/>
              </w:rPr>
              <w:fldChar w:fldCharType="begin"/>
            </w:r>
            <w:r w:rsidR="00CD10D1">
              <w:rPr>
                <w:webHidden/>
              </w:rPr>
              <w:instrText>PAGEREF _Toc178606564 \h</w:instrText>
            </w:r>
            <w:r w:rsidR="00CD10D1">
              <w:rPr>
                <w:webHidden/>
              </w:rPr>
            </w:r>
            <w:r w:rsidR="00CD10D1">
              <w:rPr>
                <w:webHidden/>
              </w:rPr>
              <w:fldChar w:fldCharType="separate"/>
            </w:r>
            <w:r w:rsidR="00CD10D1">
              <w:rPr>
                <w:rStyle w:val="Sautdindex"/>
              </w:rPr>
              <w:tab/>
              <w:t>7</w:t>
            </w:r>
            <w:r w:rsidR="00CD10D1">
              <w:rPr>
                <w:webHidden/>
              </w:rPr>
              <w:fldChar w:fldCharType="end"/>
            </w:r>
          </w:hyperlink>
        </w:p>
        <w:p w14:paraId="52FCD7BC"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65">
            <w:r w:rsidR="00CD10D1">
              <w:rPr>
                <w:rStyle w:val="Sautdindex"/>
                <w:webHidden/>
              </w:rPr>
              <w:t>6.5.   Données sensibles</w:t>
            </w:r>
            <w:r w:rsidR="00CD10D1">
              <w:rPr>
                <w:webHidden/>
              </w:rPr>
              <w:fldChar w:fldCharType="begin"/>
            </w:r>
            <w:r w:rsidR="00CD10D1">
              <w:rPr>
                <w:webHidden/>
              </w:rPr>
              <w:instrText>PAGEREF _Toc178606565 \h</w:instrText>
            </w:r>
            <w:r w:rsidR="00CD10D1">
              <w:rPr>
                <w:webHidden/>
              </w:rPr>
            </w:r>
            <w:r w:rsidR="00CD10D1">
              <w:rPr>
                <w:webHidden/>
              </w:rPr>
              <w:fldChar w:fldCharType="separate"/>
            </w:r>
            <w:r w:rsidR="00CD10D1">
              <w:rPr>
                <w:rStyle w:val="Sautdindex"/>
              </w:rPr>
              <w:tab/>
              <w:t>7</w:t>
            </w:r>
            <w:r w:rsidR="00CD10D1">
              <w:rPr>
                <w:webHidden/>
              </w:rPr>
              <w:fldChar w:fldCharType="end"/>
            </w:r>
          </w:hyperlink>
        </w:p>
        <w:p w14:paraId="48ED1DFD"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66">
            <w:r w:rsidR="00CD10D1">
              <w:rPr>
                <w:rStyle w:val="Sautdindex"/>
                <w:webHidden/>
              </w:rPr>
              <w:t>6.6.   Documentation et conformité</w:t>
            </w:r>
            <w:r w:rsidR="00CD10D1">
              <w:rPr>
                <w:webHidden/>
              </w:rPr>
              <w:fldChar w:fldCharType="begin"/>
            </w:r>
            <w:r w:rsidR="00CD10D1">
              <w:rPr>
                <w:webHidden/>
              </w:rPr>
              <w:instrText>PAGEREF _Toc178606566 \h</w:instrText>
            </w:r>
            <w:r w:rsidR="00CD10D1">
              <w:rPr>
                <w:webHidden/>
              </w:rPr>
            </w:r>
            <w:r w:rsidR="00CD10D1">
              <w:rPr>
                <w:webHidden/>
              </w:rPr>
              <w:fldChar w:fldCharType="separate"/>
            </w:r>
            <w:r w:rsidR="00CD10D1">
              <w:rPr>
                <w:rStyle w:val="Sautdindex"/>
              </w:rPr>
              <w:tab/>
              <w:t>7</w:t>
            </w:r>
            <w:r w:rsidR="00CD10D1">
              <w:rPr>
                <w:webHidden/>
              </w:rPr>
              <w:fldChar w:fldCharType="end"/>
            </w:r>
          </w:hyperlink>
        </w:p>
        <w:p w14:paraId="4BA452D1"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67">
            <w:r w:rsidR="00CD10D1">
              <w:rPr>
                <w:rStyle w:val="Sautdindex"/>
                <w:webHidden/>
              </w:rPr>
              <w:t>6.7.   Recours à des sous-traitants ultérieurs</w:t>
            </w:r>
            <w:r w:rsidR="00CD10D1">
              <w:rPr>
                <w:webHidden/>
              </w:rPr>
              <w:fldChar w:fldCharType="begin"/>
            </w:r>
            <w:r w:rsidR="00CD10D1">
              <w:rPr>
                <w:webHidden/>
              </w:rPr>
              <w:instrText>PAGEREF _Toc178606567 \h</w:instrText>
            </w:r>
            <w:r w:rsidR="00CD10D1">
              <w:rPr>
                <w:webHidden/>
              </w:rPr>
            </w:r>
            <w:r w:rsidR="00CD10D1">
              <w:rPr>
                <w:webHidden/>
              </w:rPr>
              <w:fldChar w:fldCharType="separate"/>
            </w:r>
            <w:r w:rsidR="00CD10D1">
              <w:rPr>
                <w:rStyle w:val="Sautdindex"/>
              </w:rPr>
              <w:tab/>
              <w:t>8</w:t>
            </w:r>
            <w:r w:rsidR="00CD10D1">
              <w:rPr>
                <w:webHidden/>
              </w:rPr>
              <w:fldChar w:fldCharType="end"/>
            </w:r>
          </w:hyperlink>
        </w:p>
        <w:p w14:paraId="7A0A08F1"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68">
            <w:r w:rsidR="00CD10D1">
              <w:rPr>
                <w:rStyle w:val="Sautdindex"/>
                <w:webHidden/>
              </w:rPr>
              <w:t>6.8.   Transferts de données hors de l’Union européenne ou traitement par un prestataire soumis à un droit extraterritorial tiers</w:t>
            </w:r>
            <w:r w:rsidR="00CD10D1">
              <w:rPr>
                <w:webHidden/>
              </w:rPr>
              <w:fldChar w:fldCharType="begin"/>
            </w:r>
            <w:r w:rsidR="00CD10D1">
              <w:rPr>
                <w:webHidden/>
              </w:rPr>
              <w:instrText>PAGEREF _Toc178606568 \h</w:instrText>
            </w:r>
            <w:r w:rsidR="00CD10D1">
              <w:rPr>
                <w:webHidden/>
              </w:rPr>
            </w:r>
            <w:r w:rsidR="00CD10D1">
              <w:rPr>
                <w:webHidden/>
              </w:rPr>
              <w:fldChar w:fldCharType="separate"/>
            </w:r>
            <w:r w:rsidR="00CD10D1">
              <w:rPr>
                <w:rStyle w:val="Sautdindex"/>
              </w:rPr>
              <w:tab/>
              <w:t>9</w:t>
            </w:r>
            <w:r w:rsidR="00CD10D1">
              <w:rPr>
                <w:webHidden/>
              </w:rPr>
              <w:fldChar w:fldCharType="end"/>
            </w:r>
          </w:hyperlink>
        </w:p>
        <w:p w14:paraId="6E0610C4"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69">
            <w:r w:rsidR="00CD10D1">
              <w:rPr>
                <w:rStyle w:val="Sautdindex"/>
                <w:webHidden/>
              </w:rPr>
              <w:t>6.9 Sort des données</w:t>
            </w:r>
            <w:r w:rsidR="00CD10D1">
              <w:rPr>
                <w:webHidden/>
              </w:rPr>
              <w:fldChar w:fldCharType="begin"/>
            </w:r>
            <w:r w:rsidR="00CD10D1">
              <w:rPr>
                <w:webHidden/>
              </w:rPr>
              <w:instrText>PAGEREF _Toc178606569 \h</w:instrText>
            </w:r>
            <w:r w:rsidR="00CD10D1">
              <w:rPr>
                <w:webHidden/>
              </w:rPr>
            </w:r>
            <w:r w:rsidR="00CD10D1">
              <w:rPr>
                <w:webHidden/>
              </w:rPr>
              <w:fldChar w:fldCharType="separate"/>
            </w:r>
            <w:r w:rsidR="00CD10D1">
              <w:rPr>
                <w:rStyle w:val="Sautdindex"/>
              </w:rPr>
              <w:tab/>
              <w:t>10</w:t>
            </w:r>
            <w:r w:rsidR="00CD10D1">
              <w:rPr>
                <w:webHidden/>
              </w:rPr>
              <w:fldChar w:fldCharType="end"/>
            </w:r>
          </w:hyperlink>
        </w:p>
        <w:p w14:paraId="79BE1BEC"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70">
            <w:r w:rsidR="00CD10D1">
              <w:rPr>
                <w:rStyle w:val="Sautdindex"/>
                <w:webHidden/>
              </w:rPr>
              <w:t>6.10 Obligations du Responsable du traitement</w:t>
            </w:r>
            <w:r w:rsidR="00CD10D1">
              <w:rPr>
                <w:webHidden/>
              </w:rPr>
              <w:fldChar w:fldCharType="begin"/>
            </w:r>
            <w:r w:rsidR="00CD10D1">
              <w:rPr>
                <w:webHidden/>
              </w:rPr>
              <w:instrText>PAGEREF _Toc178606570 \h</w:instrText>
            </w:r>
            <w:r w:rsidR="00CD10D1">
              <w:rPr>
                <w:webHidden/>
              </w:rPr>
            </w:r>
            <w:r w:rsidR="00CD10D1">
              <w:rPr>
                <w:webHidden/>
              </w:rPr>
              <w:fldChar w:fldCharType="separate"/>
            </w:r>
            <w:r w:rsidR="00CD10D1">
              <w:rPr>
                <w:rStyle w:val="Sautdindex"/>
              </w:rPr>
              <w:tab/>
              <w:t>10</w:t>
            </w:r>
            <w:r w:rsidR="00CD10D1">
              <w:rPr>
                <w:webHidden/>
              </w:rPr>
              <w:fldChar w:fldCharType="end"/>
            </w:r>
          </w:hyperlink>
        </w:p>
        <w:p w14:paraId="0D421C28" w14:textId="77777777" w:rsidR="00ED7C1D" w:rsidRDefault="00D10902">
          <w:pPr>
            <w:pStyle w:val="TM2"/>
            <w:tabs>
              <w:tab w:val="right" w:leader="dot" w:pos="9062"/>
            </w:tabs>
            <w:rPr>
              <w:rFonts w:eastAsiaTheme="minorEastAsia" w:cstheme="minorBidi"/>
              <w:smallCaps w:val="0"/>
              <w:sz w:val="22"/>
              <w:szCs w:val="22"/>
              <w:lang w:eastAsia="fr-FR"/>
            </w:rPr>
          </w:pPr>
          <w:hyperlink w:anchor="_Toc178606571">
            <w:r w:rsidR="00CD10D1">
              <w:rPr>
                <w:rStyle w:val="Sautdindex"/>
                <w:webHidden/>
                <w:lang w:bidi="hi-IN"/>
              </w:rPr>
              <w:t>Clause 7 : Assistance au responsable du traitement</w:t>
            </w:r>
            <w:r w:rsidR="00CD10D1">
              <w:rPr>
                <w:webHidden/>
              </w:rPr>
              <w:fldChar w:fldCharType="begin"/>
            </w:r>
            <w:r w:rsidR="00CD10D1">
              <w:rPr>
                <w:webHidden/>
              </w:rPr>
              <w:instrText>PAGEREF _Toc178606571 \h</w:instrText>
            </w:r>
            <w:r w:rsidR="00CD10D1">
              <w:rPr>
                <w:webHidden/>
              </w:rPr>
            </w:r>
            <w:r w:rsidR="00CD10D1">
              <w:rPr>
                <w:webHidden/>
              </w:rPr>
              <w:fldChar w:fldCharType="separate"/>
            </w:r>
            <w:r w:rsidR="00CD10D1">
              <w:rPr>
                <w:rStyle w:val="Sautdindex"/>
              </w:rPr>
              <w:tab/>
              <w:t>11</w:t>
            </w:r>
            <w:r w:rsidR="00CD10D1">
              <w:rPr>
                <w:webHidden/>
              </w:rPr>
              <w:fldChar w:fldCharType="end"/>
            </w:r>
          </w:hyperlink>
        </w:p>
        <w:p w14:paraId="3C3EE1E7" w14:textId="77777777" w:rsidR="00ED7C1D" w:rsidRDefault="00D10902">
          <w:pPr>
            <w:pStyle w:val="TM2"/>
            <w:tabs>
              <w:tab w:val="right" w:leader="dot" w:pos="9062"/>
            </w:tabs>
            <w:rPr>
              <w:rFonts w:eastAsiaTheme="minorEastAsia" w:cstheme="minorBidi"/>
              <w:smallCaps w:val="0"/>
              <w:sz w:val="22"/>
              <w:szCs w:val="22"/>
              <w:lang w:eastAsia="fr-FR"/>
            </w:rPr>
          </w:pPr>
          <w:hyperlink w:anchor="_Toc178606572">
            <w:r w:rsidR="00CD10D1">
              <w:rPr>
                <w:rStyle w:val="Sautdindex"/>
                <w:webHidden/>
                <w:lang w:bidi="hi-IN"/>
              </w:rPr>
              <w:t>Clause 8 : Notification de violations de données à caractère personnel</w:t>
            </w:r>
            <w:r w:rsidR="00CD10D1">
              <w:rPr>
                <w:webHidden/>
              </w:rPr>
              <w:fldChar w:fldCharType="begin"/>
            </w:r>
            <w:r w:rsidR="00CD10D1">
              <w:rPr>
                <w:webHidden/>
              </w:rPr>
              <w:instrText>PAGEREF _Toc178606572 \h</w:instrText>
            </w:r>
            <w:r w:rsidR="00CD10D1">
              <w:rPr>
                <w:webHidden/>
              </w:rPr>
            </w:r>
            <w:r w:rsidR="00CD10D1">
              <w:rPr>
                <w:webHidden/>
              </w:rPr>
              <w:fldChar w:fldCharType="separate"/>
            </w:r>
            <w:r w:rsidR="00CD10D1">
              <w:rPr>
                <w:rStyle w:val="Sautdindex"/>
              </w:rPr>
              <w:tab/>
              <w:t>12</w:t>
            </w:r>
            <w:r w:rsidR="00CD10D1">
              <w:rPr>
                <w:webHidden/>
              </w:rPr>
              <w:fldChar w:fldCharType="end"/>
            </w:r>
          </w:hyperlink>
        </w:p>
        <w:p w14:paraId="536D3DAC"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73">
            <w:r w:rsidR="00CD10D1">
              <w:rPr>
                <w:rStyle w:val="Sautdindex"/>
                <w:webHidden/>
                <w:lang w:eastAsia="fr-FR"/>
              </w:rPr>
              <w:t>8.1.   Violation de données en rapport avec des données traitées par le responsable du traitement</w:t>
            </w:r>
            <w:r w:rsidR="00CD10D1">
              <w:rPr>
                <w:webHidden/>
              </w:rPr>
              <w:fldChar w:fldCharType="begin"/>
            </w:r>
            <w:r w:rsidR="00CD10D1">
              <w:rPr>
                <w:webHidden/>
              </w:rPr>
              <w:instrText>PAGEREF _Toc178606573 \h</w:instrText>
            </w:r>
            <w:r w:rsidR="00CD10D1">
              <w:rPr>
                <w:webHidden/>
              </w:rPr>
            </w:r>
            <w:r w:rsidR="00CD10D1">
              <w:rPr>
                <w:webHidden/>
              </w:rPr>
              <w:fldChar w:fldCharType="separate"/>
            </w:r>
            <w:r w:rsidR="00CD10D1">
              <w:rPr>
                <w:rStyle w:val="Sautdindex"/>
              </w:rPr>
              <w:tab/>
              <w:t>12</w:t>
            </w:r>
            <w:r w:rsidR="00CD10D1">
              <w:rPr>
                <w:webHidden/>
              </w:rPr>
              <w:fldChar w:fldCharType="end"/>
            </w:r>
          </w:hyperlink>
        </w:p>
        <w:p w14:paraId="20E3D8C3" w14:textId="77777777" w:rsidR="00ED7C1D" w:rsidRDefault="00D10902">
          <w:pPr>
            <w:pStyle w:val="TM3"/>
            <w:tabs>
              <w:tab w:val="right" w:leader="dot" w:pos="9062"/>
            </w:tabs>
            <w:rPr>
              <w:rFonts w:eastAsiaTheme="minorEastAsia" w:cstheme="minorBidi"/>
              <w:i w:val="0"/>
              <w:iCs w:val="0"/>
              <w:sz w:val="22"/>
              <w:szCs w:val="22"/>
              <w:lang w:eastAsia="fr-FR"/>
            </w:rPr>
          </w:pPr>
          <w:hyperlink w:anchor="_Toc178606574">
            <w:r w:rsidR="00CD10D1">
              <w:rPr>
                <w:rStyle w:val="Sautdindex"/>
                <w:webHidden/>
                <w:lang w:eastAsia="fr-FR"/>
              </w:rPr>
              <w:t>8.2.   Violation de données en rapport avec des données traitées par le sous-traitant</w:t>
            </w:r>
            <w:r w:rsidR="00CD10D1">
              <w:rPr>
                <w:webHidden/>
              </w:rPr>
              <w:fldChar w:fldCharType="begin"/>
            </w:r>
            <w:r w:rsidR="00CD10D1">
              <w:rPr>
                <w:webHidden/>
              </w:rPr>
              <w:instrText>PAGEREF _Toc178606574 \h</w:instrText>
            </w:r>
            <w:r w:rsidR="00CD10D1">
              <w:rPr>
                <w:webHidden/>
              </w:rPr>
            </w:r>
            <w:r w:rsidR="00CD10D1">
              <w:rPr>
                <w:webHidden/>
              </w:rPr>
              <w:fldChar w:fldCharType="separate"/>
            </w:r>
            <w:r w:rsidR="00CD10D1">
              <w:rPr>
                <w:rStyle w:val="Sautdindex"/>
              </w:rPr>
              <w:tab/>
              <w:t>12</w:t>
            </w:r>
            <w:r w:rsidR="00CD10D1">
              <w:rPr>
                <w:webHidden/>
              </w:rPr>
              <w:fldChar w:fldCharType="end"/>
            </w:r>
          </w:hyperlink>
        </w:p>
        <w:p w14:paraId="5FFF6C2E" w14:textId="77777777" w:rsidR="00ED7C1D" w:rsidRDefault="00D10902">
          <w:pPr>
            <w:pStyle w:val="TM1"/>
            <w:tabs>
              <w:tab w:val="right" w:leader="dot" w:pos="9062"/>
            </w:tabs>
            <w:rPr>
              <w:rFonts w:eastAsiaTheme="minorEastAsia" w:cstheme="minorBidi"/>
              <w:b w:val="0"/>
              <w:bCs w:val="0"/>
              <w:caps w:val="0"/>
              <w:sz w:val="22"/>
              <w:szCs w:val="22"/>
              <w:lang w:eastAsia="fr-FR"/>
            </w:rPr>
          </w:pPr>
          <w:hyperlink w:anchor="_Toc178606575">
            <w:r w:rsidR="00CD10D1">
              <w:rPr>
                <w:rStyle w:val="Sautdindex"/>
                <w:webHidden/>
                <w:lang w:eastAsia="fr-FR" w:bidi="hi-IN"/>
              </w:rPr>
              <w:t>SECTION III - DISPOSITIONS FINALES</w:t>
            </w:r>
            <w:r w:rsidR="00CD10D1">
              <w:rPr>
                <w:webHidden/>
              </w:rPr>
              <w:fldChar w:fldCharType="begin"/>
            </w:r>
            <w:r w:rsidR="00CD10D1">
              <w:rPr>
                <w:webHidden/>
              </w:rPr>
              <w:instrText>PAGEREF _Toc178606575 \h</w:instrText>
            </w:r>
            <w:r w:rsidR="00CD10D1">
              <w:rPr>
                <w:webHidden/>
              </w:rPr>
            </w:r>
            <w:r w:rsidR="00CD10D1">
              <w:rPr>
                <w:webHidden/>
              </w:rPr>
              <w:fldChar w:fldCharType="separate"/>
            </w:r>
            <w:r w:rsidR="00CD10D1">
              <w:rPr>
                <w:rStyle w:val="Sautdindex"/>
              </w:rPr>
              <w:tab/>
              <w:t>13</w:t>
            </w:r>
            <w:r w:rsidR="00CD10D1">
              <w:rPr>
                <w:webHidden/>
              </w:rPr>
              <w:fldChar w:fldCharType="end"/>
            </w:r>
          </w:hyperlink>
        </w:p>
        <w:p w14:paraId="64E61B84" w14:textId="77777777" w:rsidR="00ED7C1D" w:rsidRDefault="00D10902">
          <w:pPr>
            <w:pStyle w:val="TM2"/>
            <w:tabs>
              <w:tab w:val="right" w:leader="dot" w:pos="9062"/>
            </w:tabs>
            <w:rPr>
              <w:rFonts w:eastAsiaTheme="minorEastAsia" w:cstheme="minorBidi"/>
              <w:smallCaps w:val="0"/>
              <w:sz w:val="22"/>
              <w:szCs w:val="22"/>
              <w:lang w:eastAsia="fr-FR"/>
            </w:rPr>
          </w:pPr>
          <w:hyperlink w:anchor="_Toc178606576">
            <w:r w:rsidR="00CD10D1">
              <w:rPr>
                <w:rStyle w:val="Sautdindex"/>
                <w:webHidden/>
                <w:lang w:bidi="hi-IN"/>
              </w:rPr>
              <w:t xml:space="preserve">Clause 9 : Non-respect des clauses et résiliation </w:t>
            </w:r>
            <w:r w:rsidR="00CD10D1">
              <w:rPr>
                <w:webHidden/>
              </w:rPr>
              <w:fldChar w:fldCharType="begin"/>
            </w:r>
            <w:r w:rsidR="00CD10D1">
              <w:rPr>
                <w:webHidden/>
              </w:rPr>
              <w:instrText>PAGEREF _Toc178606576 \h</w:instrText>
            </w:r>
            <w:r w:rsidR="00CD10D1">
              <w:rPr>
                <w:webHidden/>
              </w:rPr>
            </w:r>
            <w:r w:rsidR="00CD10D1">
              <w:rPr>
                <w:webHidden/>
              </w:rPr>
              <w:fldChar w:fldCharType="separate"/>
            </w:r>
            <w:r w:rsidR="00CD10D1">
              <w:rPr>
                <w:rStyle w:val="Sautdindex"/>
              </w:rPr>
              <w:tab/>
              <w:t>13</w:t>
            </w:r>
            <w:r w:rsidR="00CD10D1">
              <w:rPr>
                <w:webHidden/>
              </w:rPr>
              <w:fldChar w:fldCharType="end"/>
            </w:r>
          </w:hyperlink>
        </w:p>
        <w:p w14:paraId="6ABA8BFD" w14:textId="77777777" w:rsidR="00ED7C1D" w:rsidRDefault="00D10902">
          <w:pPr>
            <w:pStyle w:val="TM1"/>
            <w:tabs>
              <w:tab w:val="right" w:leader="dot" w:pos="9062"/>
            </w:tabs>
            <w:rPr>
              <w:rFonts w:eastAsiaTheme="minorEastAsia" w:cstheme="minorBidi"/>
              <w:b w:val="0"/>
              <w:bCs w:val="0"/>
              <w:caps w:val="0"/>
              <w:sz w:val="22"/>
              <w:szCs w:val="22"/>
              <w:lang w:eastAsia="fr-FR"/>
            </w:rPr>
          </w:pPr>
          <w:hyperlink w:anchor="_Toc178606577">
            <w:r w:rsidR="00CD10D1">
              <w:rPr>
                <w:rStyle w:val="Sautdindex"/>
                <w:webHidden/>
                <w:lang w:eastAsia="fr-FR" w:bidi="hi-IN"/>
              </w:rPr>
              <w:t>ANNEXE 1 - Liste des parties</w:t>
            </w:r>
            <w:r w:rsidR="00CD10D1">
              <w:rPr>
                <w:webHidden/>
              </w:rPr>
              <w:fldChar w:fldCharType="begin"/>
            </w:r>
            <w:r w:rsidR="00CD10D1">
              <w:rPr>
                <w:webHidden/>
              </w:rPr>
              <w:instrText>PAGEREF _Toc178606577 \h</w:instrText>
            </w:r>
            <w:r w:rsidR="00CD10D1">
              <w:rPr>
                <w:webHidden/>
              </w:rPr>
            </w:r>
            <w:r w:rsidR="00CD10D1">
              <w:rPr>
                <w:webHidden/>
              </w:rPr>
              <w:fldChar w:fldCharType="separate"/>
            </w:r>
            <w:r w:rsidR="00CD10D1">
              <w:rPr>
                <w:rStyle w:val="Sautdindex"/>
              </w:rPr>
              <w:tab/>
              <w:t>15</w:t>
            </w:r>
            <w:r w:rsidR="00CD10D1">
              <w:rPr>
                <w:webHidden/>
              </w:rPr>
              <w:fldChar w:fldCharType="end"/>
            </w:r>
          </w:hyperlink>
        </w:p>
        <w:p w14:paraId="11995E7A" w14:textId="77777777" w:rsidR="00ED7C1D" w:rsidRDefault="00D10902">
          <w:pPr>
            <w:pStyle w:val="TM1"/>
            <w:tabs>
              <w:tab w:val="right" w:leader="dot" w:pos="9062"/>
            </w:tabs>
            <w:rPr>
              <w:rFonts w:eastAsiaTheme="minorEastAsia" w:cstheme="minorBidi"/>
              <w:b w:val="0"/>
              <w:bCs w:val="0"/>
              <w:caps w:val="0"/>
              <w:sz w:val="22"/>
              <w:szCs w:val="22"/>
              <w:lang w:eastAsia="fr-FR"/>
            </w:rPr>
          </w:pPr>
          <w:hyperlink w:anchor="_Toc178606578">
            <w:r w:rsidR="00CD10D1">
              <w:rPr>
                <w:rStyle w:val="Sautdindex"/>
                <w:webHidden/>
                <w:lang w:eastAsia="fr-FR" w:bidi="hi-IN"/>
              </w:rPr>
              <w:t>ANNEXE 2 - Description du traitement</w:t>
            </w:r>
            <w:r w:rsidR="00CD10D1">
              <w:rPr>
                <w:webHidden/>
              </w:rPr>
              <w:fldChar w:fldCharType="begin"/>
            </w:r>
            <w:r w:rsidR="00CD10D1">
              <w:rPr>
                <w:webHidden/>
              </w:rPr>
              <w:instrText>PAGEREF _Toc178606578 \h</w:instrText>
            </w:r>
            <w:r w:rsidR="00CD10D1">
              <w:rPr>
                <w:webHidden/>
              </w:rPr>
            </w:r>
            <w:r w:rsidR="00CD10D1">
              <w:rPr>
                <w:webHidden/>
              </w:rPr>
              <w:fldChar w:fldCharType="separate"/>
            </w:r>
            <w:r w:rsidR="00CD10D1">
              <w:rPr>
                <w:rStyle w:val="Sautdindex"/>
              </w:rPr>
              <w:tab/>
              <w:t>16</w:t>
            </w:r>
            <w:r w:rsidR="00CD10D1">
              <w:rPr>
                <w:webHidden/>
              </w:rPr>
              <w:fldChar w:fldCharType="end"/>
            </w:r>
          </w:hyperlink>
        </w:p>
        <w:p w14:paraId="43CA2192" w14:textId="77777777" w:rsidR="00ED7C1D" w:rsidRDefault="00D10902">
          <w:pPr>
            <w:pStyle w:val="TM1"/>
            <w:tabs>
              <w:tab w:val="right" w:leader="dot" w:pos="9062"/>
            </w:tabs>
            <w:rPr>
              <w:rFonts w:eastAsiaTheme="minorEastAsia" w:cstheme="minorBidi"/>
              <w:b w:val="0"/>
              <w:bCs w:val="0"/>
              <w:caps w:val="0"/>
              <w:sz w:val="22"/>
              <w:szCs w:val="22"/>
              <w:lang w:eastAsia="fr-FR"/>
            </w:rPr>
          </w:pPr>
          <w:hyperlink w:anchor="_Toc178606579">
            <w:r w:rsidR="00CD10D1">
              <w:rPr>
                <w:rStyle w:val="Sautdindex"/>
                <w:webHidden/>
                <w:lang w:eastAsia="fr-FR" w:bidi="hi-IN"/>
              </w:rPr>
              <w:t>ANNEXE 3 - Mesures techniques et organisationnelles</w:t>
            </w:r>
            <w:r w:rsidR="00CD10D1">
              <w:rPr>
                <w:webHidden/>
              </w:rPr>
              <w:fldChar w:fldCharType="begin"/>
            </w:r>
            <w:r w:rsidR="00CD10D1">
              <w:rPr>
                <w:webHidden/>
              </w:rPr>
              <w:instrText>PAGEREF _Toc178606579 \h</w:instrText>
            </w:r>
            <w:r w:rsidR="00CD10D1">
              <w:rPr>
                <w:webHidden/>
              </w:rPr>
            </w:r>
            <w:r w:rsidR="00CD10D1">
              <w:rPr>
                <w:webHidden/>
              </w:rPr>
              <w:fldChar w:fldCharType="separate"/>
            </w:r>
            <w:r w:rsidR="00CD10D1">
              <w:rPr>
                <w:rStyle w:val="Sautdindex"/>
              </w:rPr>
              <w:tab/>
              <w:t>17</w:t>
            </w:r>
            <w:r w:rsidR="00CD10D1">
              <w:rPr>
                <w:webHidden/>
              </w:rPr>
              <w:fldChar w:fldCharType="end"/>
            </w:r>
          </w:hyperlink>
        </w:p>
        <w:p w14:paraId="3C76C12B" w14:textId="77777777" w:rsidR="00ED7C1D" w:rsidRDefault="00D10902">
          <w:pPr>
            <w:pStyle w:val="TM1"/>
            <w:tabs>
              <w:tab w:val="right" w:leader="dot" w:pos="9062"/>
            </w:tabs>
            <w:rPr>
              <w:rFonts w:eastAsiaTheme="minorEastAsia" w:cstheme="minorBidi"/>
              <w:b w:val="0"/>
              <w:bCs w:val="0"/>
              <w:caps w:val="0"/>
              <w:sz w:val="22"/>
              <w:szCs w:val="22"/>
              <w:lang w:eastAsia="fr-FR"/>
            </w:rPr>
          </w:pPr>
          <w:hyperlink w:anchor="_Toc178606580">
            <w:r w:rsidR="00CD10D1">
              <w:rPr>
                <w:rStyle w:val="Sautdindex"/>
                <w:webHidden/>
                <w:lang w:eastAsia="fr-FR" w:bidi="hi-IN"/>
              </w:rPr>
              <w:t>ANNEXE 4</w:t>
            </w:r>
            <w:r w:rsidR="00CD10D1">
              <w:rPr>
                <w:rStyle w:val="Sautdindex"/>
                <w:lang w:bidi="hi-IN"/>
              </w:rPr>
              <w:t xml:space="preserve"> - </w:t>
            </w:r>
            <w:r w:rsidR="00CD10D1">
              <w:rPr>
                <w:rStyle w:val="Sautdindex"/>
                <w:lang w:eastAsia="fr-FR" w:bidi="hi-IN"/>
              </w:rPr>
              <w:t>Liste de sous-traitants ultérieurs</w:t>
            </w:r>
            <w:r w:rsidR="00CD10D1">
              <w:rPr>
                <w:webHidden/>
              </w:rPr>
              <w:fldChar w:fldCharType="begin"/>
            </w:r>
            <w:r w:rsidR="00CD10D1">
              <w:rPr>
                <w:webHidden/>
              </w:rPr>
              <w:instrText>PAGEREF _Toc178606580 \h</w:instrText>
            </w:r>
            <w:r w:rsidR="00CD10D1">
              <w:rPr>
                <w:webHidden/>
              </w:rPr>
            </w:r>
            <w:r w:rsidR="00CD10D1">
              <w:rPr>
                <w:webHidden/>
              </w:rPr>
              <w:fldChar w:fldCharType="separate"/>
            </w:r>
            <w:r w:rsidR="00CD10D1">
              <w:rPr>
                <w:rStyle w:val="Sautdindex"/>
              </w:rPr>
              <w:tab/>
              <w:t>18</w:t>
            </w:r>
            <w:r w:rsidR="00CD10D1">
              <w:rPr>
                <w:webHidden/>
              </w:rPr>
              <w:fldChar w:fldCharType="end"/>
            </w:r>
          </w:hyperlink>
        </w:p>
        <w:p w14:paraId="32DD7460" w14:textId="77777777" w:rsidR="00ED7C1D" w:rsidRDefault="00CD10D1">
          <w:r>
            <w:fldChar w:fldCharType="end"/>
          </w:r>
        </w:p>
      </w:sdtContent>
    </w:sdt>
    <w:p w14:paraId="74C653F9" w14:textId="77777777" w:rsidR="00ED7C1D" w:rsidRDefault="00ED7C1D">
      <w:pPr>
        <w:pStyle w:val="Style1"/>
      </w:pPr>
    </w:p>
    <w:p w14:paraId="77907422" w14:textId="77777777" w:rsidR="00ED7C1D" w:rsidRDefault="00CD10D1">
      <w:pPr>
        <w:suppressAutoHyphens w:val="0"/>
        <w:spacing w:after="0" w:line="240" w:lineRule="auto"/>
        <w:jc w:val="left"/>
        <w:rPr>
          <w:rFonts w:ascii="Arial Gras" w:eastAsia="Times New Roman" w:hAnsi="Arial Gras" w:cs="Arial"/>
          <w:b/>
          <w:caps/>
          <w:color w:val="000000" w:themeColor="text1"/>
          <w:sz w:val="28"/>
          <w:szCs w:val="32"/>
          <w:lang w:bidi="hi-IN"/>
        </w:rPr>
        <w:sectPr w:rsidR="00ED7C1D">
          <w:headerReference w:type="default" r:id="rId8"/>
          <w:footerReference w:type="default" r:id="rId9"/>
          <w:headerReference w:type="first" r:id="rId10"/>
          <w:footerReference w:type="first" r:id="rId11"/>
          <w:pgSz w:w="11906" w:h="16838"/>
          <w:pgMar w:top="1417" w:right="1417" w:bottom="1417" w:left="1417" w:header="720" w:footer="720" w:gutter="0"/>
          <w:cols w:space="720"/>
          <w:formProt w:val="0"/>
          <w:docGrid w:linePitch="360"/>
        </w:sectPr>
      </w:pPr>
      <w:r>
        <w:br w:type="page"/>
      </w:r>
    </w:p>
    <w:p w14:paraId="7BC44624" w14:textId="77777777" w:rsidR="00ED7C1D" w:rsidRDefault="00CD10D1">
      <w:pPr>
        <w:pStyle w:val="Titre1"/>
        <w:spacing w:before="0"/>
        <w:rPr>
          <w:lang w:eastAsia="fr-FR"/>
        </w:rPr>
      </w:pPr>
      <w:bookmarkStart w:id="0" w:name="_Toc178606552"/>
      <w:r>
        <w:lastRenderedPageBreak/>
        <w:t>Introduction</w:t>
      </w:r>
      <w:bookmarkEnd w:id="0"/>
      <w:r>
        <w:t> </w:t>
      </w:r>
    </w:p>
    <w:p w14:paraId="33C3D4C8" w14:textId="77777777" w:rsidR="00ED7C1D" w:rsidRDefault="00CD10D1">
      <w:pPr>
        <w:pStyle w:val="LO-Normal"/>
        <w:spacing w:before="113" w:after="113"/>
        <w:ind w:left="0" w:firstLine="0"/>
        <w:rPr>
          <w:rFonts w:ascii="Calibri" w:hAnsi="Calibri"/>
          <w:sz w:val="22"/>
          <w:szCs w:val="22"/>
        </w:rPr>
      </w:pPr>
      <w:r>
        <w:rPr>
          <w:rStyle w:val="Policepardfaut1"/>
          <w:rFonts w:ascii="Calibri" w:hAnsi="Calibri" w:cs="Calibri"/>
          <w:sz w:val="22"/>
          <w:szCs w:val="22"/>
        </w:rPr>
        <w:t>Ce document décrit les engagements réciproques entre la Direction de la Transformation Numérique (DTNUM), ci-après appelé le Responsable de traitement, et le titulaire de l’accord-cadre, ci-après appelée le Sous-traitant, concernant les données à caractère personnel qui ont vocation à être traitées par le Sous-traitant.</w:t>
      </w:r>
    </w:p>
    <w:p w14:paraId="7AC6C050" w14:textId="77777777" w:rsidR="00ED7C1D" w:rsidRDefault="00CD10D1">
      <w:pPr>
        <w:pStyle w:val="LO-Normal"/>
        <w:spacing w:before="113" w:after="113"/>
        <w:ind w:left="0" w:firstLine="0"/>
        <w:rPr>
          <w:rFonts w:ascii="Calibri" w:hAnsi="Calibri"/>
          <w:color w:val="auto"/>
          <w:sz w:val="22"/>
          <w:szCs w:val="22"/>
        </w:rPr>
      </w:pPr>
      <w:r>
        <w:rPr>
          <w:rFonts w:ascii="Calibri" w:eastAsia="Times New Roman" w:hAnsi="Calibri" w:cs="Calibri"/>
          <w:sz w:val="22"/>
          <w:szCs w:val="22"/>
          <w:lang w:eastAsia="fr-FR"/>
        </w:rPr>
        <w:t xml:space="preserve">Les Parties reconnaissent que le Sous-traitant n’acquiert aucun droit sur les données traitées ou notamment exploitées, hébergées, sauvegardées ou encore stockées pour le compte du Responsable de traitement et à l'initiative de celui-ci, dans le </w:t>
      </w:r>
      <w:r>
        <w:rPr>
          <w:rFonts w:ascii="Calibri" w:eastAsia="Times New Roman" w:hAnsi="Calibri" w:cs="Calibri"/>
          <w:color w:val="auto"/>
          <w:sz w:val="22"/>
          <w:szCs w:val="22"/>
          <w:lang w:eastAsia="fr-FR"/>
        </w:rPr>
        <w:t>cadre de la sous-traitance.</w:t>
      </w:r>
    </w:p>
    <w:p w14:paraId="35CCBE17" w14:textId="77777777" w:rsidR="00ED7C1D" w:rsidRDefault="00CD10D1">
      <w:pPr>
        <w:pStyle w:val="LO-Normal"/>
        <w:spacing w:before="113" w:after="113"/>
        <w:ind w:left="0" w:firstLine="0"/>
        <w:rPr>
          <w:rFonts w:ascii="Calibri" w:hAnsi="Calibri"/>
          <w:color w:val="auto"/>
          <w:sz w:val="22"/>
          <w:szCs w:val="22"/>
        </w:rPr>
      </w:pPr>
      <w:r>
        <w:rPr>
          <w:rFonts w:ascii="Calibri" w:eastAsia="Times New Roman" w:hAnsi="Calibri" w:cs="Calibri"/>
          <w:color w:val="auto"/>
          <w:sz w:val="22"/>
          <w:szCs w:val="22"/>
          <w:lang w:eastAsia="fr-FR"/>
        </w:rPr>
        <w:t>Dans le cas où le Responsable de traitement sous-traite plusieurs traitements à un même Sous-traitant, un document distinct est rempli et signé pour chaque traitement.</w:t>
      </w:r>
    </w:p>
    <w:p w14:paraId="0AA54A1B" w14:textId="77777777" w:rsidR="00ED7C1D" w:rsidRDefault="00CD10D1">
      <w:pPr>
        <w:rPr>
          <w:b/>
          <w:u w:val="single"/>
        </w:rPr>
      </w:pPr>
      <w:r>
        <w:rPr>
          <w:b/>
          <w:u w:val="single"/>
        </w:rPr>
        <w:t>Définitions spécifiques aux données à caractère personnel</w:t>
      </w:r>
    </w:p>
    <w:p w14:paraId="0218A7CF" w14:textId="77777777" w:rsidR="00ED7C1D" w:rsidRDefault="00CD10D1">
      <w:pPr>
        <w:spacing w:before="57" w:after="57"/>
      </w:pPr>
      <w:r>
        <w:rPr>
          <w:rStyle w:val="Policepardfaut1"/>
          <w:rFonts w:cs="Marianne"/>
          <w:b/>
        </w:rPr>
        <w:t>Donnée à caractère personnel</w:t>
      </w:r>
      <w:r>
        <w:rPr>
          <w:rStyle w:val="Policepardfaut1"/>
          <w:rFonts w:cs="Marianne"/>
        </w:rPr>
        <w:t> : désigne toute information se rapportant à une personne physique identifiée ou identifiable ; est réputée être une « personne physique identifiable » une personne physique qui peut être identifiée, directement ou indirectement, notamment par référence à un identifiant, tel qu’un nom, un numéro de téléphone, une adresse courriel, un numéro d’identification, des données de localisation, un identifiant en ligne, ou à un ou plusieurs éléments spécifiques propres à son identité physique, physiologique, génétique, psychique, économique, culturelle ou sociale.</w:t>
      </w:r>
    </w:p>
    <w:p w14:paraId="06EA53F2" w14:textId="77777777" w:rsidR="00ED7C1D" w:rsidRDefault="00CD10D1">
      <w:pPr>
        <w:spacing w:before="57" w:after="57" w:line="240" w:lineRule="auto"/>
      </w:pPr>
      <w:r>
        <w:rPr>
          <w:rStyle w:val="Policepardfaut1"/>
          <w:rFonts w:eastAsia="Times New Roman" w:cs="Marianne"/>
          <w:b/>
          <w:lang w:eastAsia="fr-FR"/>
        </w:rPr>
        <w:t>Traitement :</w:t>
      </w:r>
      <w:r>
        <w:rPr>
          <w:rStyle w:val="Policepardfaut1"/>
          <w:rFonts w:eastAsia="Times New Roman" w:cs="Marianne"/>
          <w:lang w:eastAsia="fr-FR"/>
        </w:rPr>
        <w:t xml:space="preserve"> désigne toute opération ou tout ensemble d’opérations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66A310AE" w14:textId="77777777" w:rsidR="00ED7C1D" w:rsidRDefault="00CD10D1">
      <w:pPr>
        <w:spacing w:before="57" w:after="57" w:line="240" w:lineRule="auto"/>
      </w:pPr>
      <w:r>
        <w:rPr>
          <w:rStyle w:val="Policepardfaut1"/>
          <w:rFonts w:eastAsia="Times New Roman" w:cs="Marianne"/>
          <w:b/>
          <w:lang w:eastAsia="fr-FR"/>
        </w:rPr>
        <w:t>Instruction </w:t>
      </w:r>
      <w:r>
        <w:rPr>
          <w:rStyle w:val="Policepardfaut1"/>
          <w:rFonts w:eastAsia="Times New Roman" w:cs="Marianne"/>
          <w:lang w:eastAsia="fr-FR"/>
        </w:rPr>
        <w:t>: désigne toute commande explicative écrite, reçue par le Sous-traitant de la part du Responsable de traitement en vertu du présent contrat et du document distinct rédigé pour chaque fichier contenant de données à caractère personnel.</w:t>
      </w:r>
    </w:p>
    <w:p w14:paraId="18C3C2AA" w14:textId="77777777" w:rsidR="00ED7C1D" w:rsidRDefault="00CD10D1">
      <w:pPr>
        <w:spacing w:before="57" w:after="57"/>
      </w:pPr>
      <w:r>
        <w:rPr>
          <w:rStyle w:val="Policepardfaut1"/>
          <w:rFonts w:cs="Marianne"/>
          <w:b/>
        </w:rPr>
        <w:t>Responsable de traitement</w:t>
      </w:r>
      <w:r>
        <w:rPr>
          <w:rStyle w:val="Policepardfaut1"/>
          <w:rFonts w:cs="Marianne"/>
        </w:rPr>
        <w:t xml:space="preserve"> : désigne la personne physique ou morale, l'autorité publique, le service ou un autre organisme qui, seul ou conjointement avec d'autres, détermine les finalités et les moyens du traitement ; dans le cadre du présent contrat, le Responsable de traitement </w:t>
      </w:r>
      <w:r w:rsidRPr="00666E79">
        <w:rPr>
          <w:rStyle w:val="Policepardfaut1"/>
          <w:rFonts w:cs="Marianne"/>
        </w:rPr>
        <w:t xml:space="preserve">est la </w:t>
      </w:r>
      <w:r w:rsidR="00666E79" w:rsidRPr="00666E79">
        <w:rPr>
          <w:rStyle w:val="Policepardfaut1"/>
          <w:rFonts w:cs="Marianne"/>
        </w:rPr>
        <w:t>Sous-D</w:t>
      </w:r>
      <w:r w:rsidRPr="00666E79">
        <w:rPr>
          <w:rStyle w:val="Policepardfaut1"/>
          <w:rFonts w:cs="Marianne"/>
        </w:rPr>
        <w:t xml:space="preserve">irection </w:t>
      </w:r>
      <w:r w:rsidR="00666E79" w:rsidRPr="00666E79">
        <w:rPr>
          <w:rStyle w:val="Policepardfaut1"/>
          <w:rFonts w:cs="Marianne"/>
        </w:rPr>
        <w:t>des Architectures Sécurisées</w:t>
      </w:r>
      <w:r w:rsidRPr="00666E79">
        <w:rPr>
          <w:rStyle w:val="Policepardfaut1"/>
          <w:rFonts w:cs="Marianne"/>
        </w:rPr>
        <w:t xml:space="preserve"> (SD</w:t>
      </w:r>
      <w:r w:rsidR="00666E79" w:rsidRPr="00666E79">
        <w:rPr>
          <w:rStyle w:val="Policepardfaut1"/>
          <w:rFonts w:cs="Marianne"/>
        </w:rPr>
        <w:t>AS</w:t>
      </w:r>
      <w:r w:rsidRPr="00666E79">
        <w:rPr>
          <w:rStyle w:val="Policepardfaut1"/>
          <w:rFonts w:cs="Marianne"/>
        </w:rPr>
        <w:t>).</w:t>
      </w:r>
    </w:p>
    <w:p w14:paraId="290FA7AF" w14:textId="77777777" w:rsidR="00ED7C1D" w:rsidRDefault="00CD10D1">
      <w:pPr>
        <w:spacing w:before="57" w:after="57"/>
      </w:pPr>
      <w:r>
        <w:rPr>
          <w:rStyle w:val="Policepardfaut1"/>
          <w:rFonts w:cs="Marianne"/>
          <w:b/>
        </w:rPr>
        <w:t>Sous-traitant</w:t>
      </w:r>
      <w:r>
        <w:rPr>
          <w:rStyle w:val="Policepardfaut1"/>
          <w:rFonts w:cs="Marianne"/>
        </w:rPr>
        <w:t> : désigne la personne physique ou morale, l'autorité publique, le service ou un autre organisme qui traite des données personnelles sur instruction pour le compte du Responsable du traitement.</w:t>
      </w:r>
    </w:p>
    <w:p w14:paraId="58A0B9B1" w14:textId="77777777" w:rsidR="00ED7C1D" w:rsidRDefault="00CD10D1">
      <w:pPr>
        <w:spacing w:before="57" w:after="57" w:line="240" w:lineRule="auto"/>
        <w:rPr>
          <w:rStyle w:val="Policepardfaut1"/>
          <w:rFonts w:eastAsia="Times New Roman" w:cs="Marianne"/>
          <w:lang w:eastAsia="fr-FR"/>
        </w:rPr>
      </w:pPr>
      <w:r>
        <w:rPr>
          <w:rStyle w:val="Policepardfaut1"/>
          <w:rFonts w:eastAsia="Times New Roman" w:cs="Marianne"/>
          <w:b/>
          <w:bCs/>
          <w:lang w:eastAsia="fr-FR"/>
        </w:rPr>
        <w:t xml:space="preserve">Violation des données à caractère personnel </w:t>
      </w:r>
      <w:r>
        <w:rPr>
          <w:rStyle w:val="Policepardfaut1"/>
          <w:rFonts w:eastAsia="Times New Roman" w:cs="Marianne"/>
          <w:lang w:eastAsia="fr-FR"/>
        </w:rPr>
        <w:t>: il s’agit de tout incident de sécurité, d’origine malveillante ou non et se produisant de manière intentionnelle ou non, ayant comme conséquence de compromettre l’intégrité, la confidentialité ou la disponibilité des données personnelles.</w:t>
      </w:r>
    </w:p>
    <w:p w14:paraId="2900A254" w14:textId="77777777" w:rsidR="00ED7C1D" w:rsidRDefault="00ED7C1D">
      <w:pPr>
        <w:spacing w:before="57" w:after="57" w:line="240" w:lineRule="auto"/>
      </w:pPr>
    </w:p>
    <w:p w14:paraId="186040FE" w14:textId="77777777" w:rsidR="00ED7C1D" w:rsidRDefault="00ED7C1D">
      <w:pPr>
        <w:spacing w:before="57" w:after="57" w:line="240" w:lineRule="auto"/>
      </w:pPr>
    </w:p>
    <w:p w14:paraId="3FAA06E6" w14:textId="77777777" w:rsidR="00ED7C1D" w:rsidRDefault="00ED7C1D">
      <w:pPr>
        <w:spacing w:before="57" w:after="57" w:line="240" w:lineRule="auto"/>
      </w:pPr>
    </w:p>
    <w:p w14:paraId="78D768FD" w14:textId="77777777" w:rsidR="00ED7C1D" w:rsidRDefault="00CD10D1">
      <w:pPr>
        <w:suppressAutoHyphens w:val="0"/>
        <w:spacing w:after="0" w:line="240" w:lineRule="auto"/>
        <w:rPr>
          <w:rFonts w:ascii="Arial Gras" w:eastAsia="Times New Roman" w:hAnsi="Arial Gras" w:cs="Arial"/>
          <w:b/>
          <w:caps/>
          <w:color w:val="000000" w:themeColor="text1"/>
          <w:sz w:val="28"/>
          <w:szCs w:val="32"/>
          <w:lang w:bidi="hi-IN"/>
        </w:rPr>
      </w:pPr>
      <w:r>
        <w:br w:type="page"/>
      </w:r>
    </w:p>
    <w:p w14:paraId="7AE39E07" w14:textId="77777777" w:rsidR="00ED7C1D" w:rsidRDefault="00CD10D1">
      <w:pPr>
        <w:pStyle w:val="Titre1"/>
        <w:spacing w:before="0"/>
        <w:rPr>
          <w:bCs/>
        </w:rPr>
      </w:pPr>
      <w:bookmarkStart w:id="1" w:name="_Toc178606553"/>
      <w:r>
        <w:lastRenderedPageBreak/>
        <w:t>SECTION I – Généralités</w:t>
      </w:r>
      <w:bookmarkEnd w:id="1"/>
      <w:r>
        <w:t xml:space="preserve"> </w:t>
      </w:r>
    </w:p>
    <w:p w14:paraId="093276F2" w14:textId="77777777" w:rsidR="00ED7C1D" w:rsidRDefault="00CD10D1">
      <w:pPr>
        <w:pStyle w:val="Titre2"/>
      </w:pPr>
      <w:bookmarkStart w:id="2" w:name="_Toc178606554"/>
      <w:r>
        <w:t>Clause 1 : Objet et champ d’application</w:t>
      </w:r>
      <w:bookmarkEnd w:id="2"/>
      <w:r>
        <w:t xml:space="preserve"> </w:t>
      </w:r>
    </w:p>
    <w:p w14:paraId="7009D3E3" w14:textId="77777777" w:rsidR="00ED7C1D" w:rsidRDefault="00CD10D1">
      <w:pPr>
        <w:rPr>
          <w:lang w:eastAsia="fr-FR"/>
        </w:rPr>
      </w:pPr>
      <w:r>
        <w:rPr>
          <w:lang w:eastAsia="fr-FR"/>
        </w:rPr>
        <w:t>Les présentes clauses contractuelles types (ci-après les «clauses») ont pour objet de garantir la conformité avec , selon les cas, 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ou, pour les traitements relevant de la directive police-justice, l’article 96 de la loi n°78-17 Informatique et libertés</w:t>
      </w:r>
    </w:p>
    <w:p w14:paraId="4412B196" w14:textId="77777777" w:rsidR="00ED7C1D" w:rsidRDefault="00CD10D1">
      <w:pPr>
        <w:rPr>
          <w:lang w:eastAsia="fr-FR"/>
        </w:rPr>
      </w:pPr>
      <w:r>
        <w:rPr>
          <w:lang w:eastAsia="fr-FR"/>
        </w:rPr>
        <w:t xml:space="preserve">Les responsables du traitement et les sous-traitants énumérés à l’annexe 1 ont accepté ces clauses afin de garantir le respect des dispositions précitées. </w:t>
      </w:r>
    </w:p>
    <w:p w14:paraId="1C33A6BB" w14:textId="77777777" w:rsidR="00ED7C1D" w:rsidRDefault="00CD10D1">
      <w:pPr>
        <w:rPr>
          <w:lang w:eastAsia="fr-FR"/>
        </w:rPr>
      </w:pPr>
      <w:r>
        <w:rPr>
          <w:lang w:eastAsia="fr-FR"/>
        </w:rPr>
        <w:t>Les présentes clauses s’appliquent au traitement des données à caractère personnel tel que décrit à l’annexe 2.</w:t>
      </w:r>
    </w:p>
    <w:p w14:paraId="0490023E" w14:textId="77777777" w:rsidR="00ED7C1D" w:rsidRDefault="00CD10D1">
      <w:pPr>
        <w:rPr>
          <w:lang w:eastAsia="fr-FR"/>
        </w:rPr>
      </w:pPr>
      <w:r>
        <w:rPr>
          <w:lang w:eastAsia="fr-FR"/>
        </w:rPr>
        <w:t>Les annexes 1 à 4 font partie intégrante des clauses</w:t>
      </w:r>
    </w:p>
    <w:p w14:paraId="23B2C1BE" w14:textId="77777777" w:rsidR="00ED7C1D" w:rsidRDefault="00CD10D1">
      <w:pPr>
        <w:rPr>
          <w:lang w:eastAsia="fr-FR"/>
        </w:rPr>
      </w:pPr>
      <w:r>
        <w:rPr>
          <w:lang w:eastAsia="fr-FR"/>
        </w:rPr>
        <w:t xml:space="preserve">Les présentes clauses sont sans préjudice des obligations auxquelles le responsable du traitement est soumis en vertu du règlement (UE) 2016/679 et/ou de la loi Informatique et libertés. </w:t>
      </w:r>
    </w:p>
    <w:p w14:paraId="1BBF58DD" w14:textId="77777777" w:rsidR="00ED7C1D" w:rsidRDefault="00CD10D1">
      <w:pPr>
        <w:rPr>
          <w:lang w:eastAsia="fr-FR"/>
        </w:rPr>
      </w:pPr>
      <w:r>
        <w:rPr>
          <w:lang w:eastAsia="fr-FR"/>
        </w:rPr>
        <w:t>De même, les présentes clauses sont sans préjudice des règles auxquelles le responsable du traitement est soumis en vertu :</w:t>
      </w:r>
    </w:p>
    <w:p w14:paraId="16C0CAAA" w14:textId="77777777" w:rsidR="00ED7C1D" w:rsidRDefault="00CD10D1">
      <w:pPr>
        <w:rPr>
          <w:lang w:eastAsia="fr-FR"/>
        </w:rPr>
      </w:pPr>
      <w:r>
        <w:rPr>
          <w:lang w:eastAsia="fr-FR"/>
        </w:rPr>
        <w:t>-</w:t>
      </w:r>
      <w:r>
        <w:rPr>
          <w:lang w:eastAsia="fr-FR"/>
        </w:rPr>
        <w:tab/>
        <w:t>du RGS (référentiel général de sécurité) V2.0 :</w:t>
      </w:r>
    </w:p>
    <w:p w14:paraId="7D2B8DF5" w14:textId="77777777" w:rsidR="00ED7C1D" w:rsidRDefault="00CD10D1">
      <w:pPr>
        <w:rPr>
          <w:lang w:eastAsia="fr-FR"/>
        </w:rPr>
      </w:pPr>
      <w:r>
        <w:rPr>
          <w:lang w:eastAsia="fr-FR"/>
        </w:rPr>
        <w:t>https://cyber.gouv.fr/le-referentiel-general-de-securite-rgs</w:t>
      </w:r>
    </w:p>
    <w:p w14:paraId="0AF1E4AC" w14:textId="77777777" w:rsidR="00ED7C1D" w:rsidRDefault="00CD10D1">
      <w:pPr>
        <w:rPr>
          <w:lang w:eastAsia="fr-FR"/>
        </w:rPr>
      </w:pPr>
      <w:r>
        <w:rPr>
          <w:lang w:eastAsia="fr-FR"/>
        </w:rPr>
        <w:t>-</w:t>
      </w:r>
      <w:r>
        <w:rPr>
          <w:lang w:eastAsia="fr-FR"/>
        </w:rPr>
        <w:tab/>
        <w:t>des normes relatives aux empreintes digitales :</w:t>
      </w:r>
    </w:p>
    <w:p w14:paraId="7CDE46EA" w14:textId="77777777" w:rsidR="00ED7C1D" w:rsidRDefault="00CD10D1">
      <w:pPr>
        <w:rPr>
          <w:lang w:eastAsia="fr-FR"/>
        </w:rPr>
      </w:pPr>
      <w:r>
        <w:rPr>
          <w:lang w:eastAsia="fr-FR"/>
        </w:rPr>
        <w:t xml:space="preserve">Décision d'exécution (UE) 2019/329 établissant les spécifications relatives à la qualité, à la résolution et à l'utilisation des empreintes digitales et de l'image faciale aux fins de vérification et d'identification biométriques dans le système d'entrée/de sortie (EES) : </w:t>
      </w:r>
    </w:p>
    <w:p w14:paraId="76537431" w14:textId="77777777" w:rsidR="00ED7C1D" w:rsidRDefault="00CD10D1">
      <w:pPr>
        <w:rPr>
          <w:lang w:eastAsia="fr-FR"/>
        </w:rPr>
      </w:pPr>
      <w:r>
        <w:rPr>
          <w:lang w:eastAsia="fr-FR"/>
        </w:rPr>
        <w:t>https://eur-lex.europa.eu/legal-content/FR/TXT/?uri=CELEX%3A32019D0329&amp;qid=1708946949180</w:t>
      </w:r>
    </w:p>
    <w:p w14:paraId="7A9D7F4C" w14:textId="77777777" w:rsidR="00ED7C1D" w:rsidRDefault="00CD10D1">
      <w:pPr>
        <w:rPr>
          <w:lang w:eastAsia="fr-FR"/>
        </w:rPr>
      </w:pPr>
      <w:r>
        <w:rPr>
          <w:lang w:eastAsia="fr-FR"/>
        </w:rPr>
        <w:t>-</w:t>
      </w:r>
      <w:r>
        <w:rPr>
          <w:lang w:eastAsia="fr-FR"/>
        </w:rPr>
        <w:tab/>
        <w:t>des normes relatives aux images faciales :</w:t>
      </w:r>
    </w:p>
    <w:p w14:paraId="07297E6C" w14:textId="77777777" w:rsidR="00ED7C1D" w:rsidRDefault="00CD10D1">
      <w:pPr>
        <w:rPr>
          <w:lang w:eastAsia="fr-FR"/>
        </w:rPr>
      </w:pPr>
      <w:r>
        <w:rPr>
          <w:lang w:eastAsia="fr-FR"/>
        </w:rPr>
        <w:t xml:space="preserve">Décision d'exécution (UE) 2019/329 établissant les spécifications relatives à la qualité, à la résolution et à l'utilisation des empreintes digitales et de l'image faciale aux fins de vérification et d'identification biométriques dans le système d'entrée/de sortie (EES) : </w:t>
      </w:r>
    </w:p>
    <w:p w14:paraId="5DE3B9CB" w14:textId="77777777" w:rsidR="00ED7C1D" w:rsidRDefault="00CD10D1">
      <w:pPr>
        <w:rPr>
          <w:lang w:eastAsia="fr-FR"/>
        </w:rPr>
      </w:pPr>
      <w:r>
        <w:rPr>
          <w:lang w:eastAsia="fr-FR"/>
        </w:rPr>
        <w:t>https://eur-lex.europa.eu/legal-content/FR/TXT/?uri=CELEX%3A32019D0329&amp;qid=1708946949180</w:t>
      </w:r>
    </w:p>
    <w:p w14:paraId="045B824F" w14:textId="77777777" w:rsidR="00ED7C1D" w:rsidRDefault="00CD10D1">
      <w:pPr>
        <w:rPr>
          <w:lang w:eastAsia="fr-FR"/>
        </w:rPr>
      </w:pPr>
      <w:r>
        <w:rPr>
          <w:lang w:eastAsia="fr-FR"/>
        </w:rPr>
        <w:t>-</w:t>
      </w:r>
      <w:r>
        <w:rPr>
          <w:lang w:eastAsia="fr-FR"/>
        </w:rPr>
        <w:tab/>
        <w:t>du règlement (UE) 2016/399 « Code Frontière Schengen » :</w:t>
      </w:r>
    </w:p>
    <w:p w14:paraId="45A2B0D8" w14:textId="77777777" w:rsidR="00ED7C1D" w:rsidRDefault="00CD10D1">
      <w:pPr>
        <w:rPr>
          <w:lang w:eastAsia="fr-FR"/>
        </w:rPr>
      </w:pPr>
      <w:r>
        <w:rPr>
          <w:lang w:eastAsia="fr-FR"/>
        </w:rPr>
        <w:t>https://eur-lex.europa.eu/legal-content/FR/TXT/?uri=CELEX%3A02016R0399-20170407</w:t>
      </w:r>
    </w:p>
    <w:p w14:paraId="0D672564" w14:textId="77777777" w:rsidR="00ED7C1D" w:rsidRDefault="00CD10D1">
      <w:pPr>
        <w:rPr>
          <w:lang w:eastAsia="fr-FR"/>
        </w:rPr>
      </w:pPr>
      <w:r>
        <w:rPr>
          <w:lang w:eastAsia="fr-FR"/>
        </w:rPr>
        <w:t>-</w:t>
      </w:r>
      <w:r>
        <w:rPr>
          <w:lang w:eastAsia="fr-FR"/>
        </w:rPr>
        <w:tab/>
        <w:t>du règlement (UE) 2017/2225 modifiant le « Code Frontière Schengen » :</w:t>
      </w:r>
    </w:p>
    <w:p w14:paraId="4912156A" w14:textId="77777777" w:rsidR="00ED7C1D" w:rsidRDefault="00CD10D1">
      <w:pPr>
        <w:rPr>
          <w:lang w:eastAsia="fr-FR"/>
        </w:rPr>
      </w:pPr>
      <w:r>
        <w:rPr>
          <w:lang w:eastAsia="fr-FR"/>
        </w:rPr>
        <w:t>https://eur-lex.europa.eu/legal-content/FR/TXT/?uri=celex%3A32017R2225</w:t>
      </w:r>
    </w:p>
    <w:p w14:paraId="55CC642A" w14:textId="77777777" w:rsidR="00ED7C1D" w:rsidRDefault="00CD10D1">
      <w:pPr>
        <w:rPr>
          <w:lang w:eastAsia="fr-FR"/>
        </w:rPr>
      </w:pPr>
      <w:r>
        <w:rPr>
          <w:lang w:eastAsia="fr-FR"/>
        </w:rPr>
        <w:lastRenderedPageBreak/>
        <w:t>-</w:t>
      </w:r>
      <w:r>
        <w:rPr>
          <w:lang w:eastAsia="fr-FR"/>
        </w:rPr>
        <w:tab/>
        <w:t>du règlement (UE) 2017/2226 « EES » :</w:t>
      </w:r>
    </w:p>
    <w:p w14:paraId="1D2B853D" w14:textId="77777777" w:rsidR="00ED7C1D" w:rsidRDefault="00CD10D1">
      <w:pPr>
        <w:rPr>
          <w:lang w:eastAsia="fr-FR"/>
        </w:rPr>
      </w:pPr>
      <w:r>
        <w:rPr>
          <w:lang w:eastAsia="fr-FR"/>
        </w:rPr>
        <w:t>https://eur-lex.europa.eu/legal-content/FR/TXT/?uri=celex%3A32017R2226</w:t>
      </w:r>
    </w:p>
    <w:p w14:paraId="29A330CE" w14:textId="77777777" w:rsidR="00ED7C1D" w:rsidRDefault="00CD10D1">
      <w:pPr>
        <w:rPr>
          <w:lang w:eastAsia="fr-FR"/>
        </w:rPr>
      </w:pPr>
      <w:r>
        <w:rPr>
          <w:lang w:eastAsia="fr-FR"/>
        </w:rPr>
        <w:t>-</w:t>
      </w:r>
      <w:r>
        <w:rPr>
          <w:lang w:eastAsia="fr-FR"/>
        </w:rPr>
        <w:tab/>
        <w:t>de la synthèse du règlement EES et du Code Frontières Schengen :</w:t>
      </w:r>
    </w:p>
    <w:p w14:paraId="749418CA" w14:textId="77777777" w:rsidR="00ED7C1D" w:rsidRDefault="00CD10D1">
      <w:pPr>
        <w:rPr>
          <w:lang w:eastAsia="fr-FR"/>
        </w:rPr>
      </w:pPr>
      <w:r>
        <w:rPr>
          <w:lang w:eastAsia="fr-FR"/>
        </w:rPr>
        <w:t xml:space="preserve">https://eur-lex.europa.eu/legal-content/FR/TXT/HTML/?uri=LEGISSUM:4326388 </w:t>
      </w:r>
    </w:p>
    <w:p w14:paraId="7087E1EF" w14:textId="77777777" w:rsidR="00ED7C1D" w:rsidRDefault="00CD10D1">
      <w:pPr>
        <w:rPr>
          <w:lang w:eastAsia="fr-FR"/>
        </w:rPr>
      </w:pPr>
      <w:r>
        <w:rPr>
          <w:lang w:eastAsia="fr-FR"/>
        </w:rPr>
        <w:t>-</w:t>
      </w:r>
      <w:r>
        <w:rPr>
          <w:lang w:eastAsia="fr-FR"/>
        </w:rPr>
        <w:tab/>
        <w:t>du règlement (UE) 2018/1726 « eu-LISA »</w:t>
      </w:r>
    </w:p>
    <w:p w14:paraId="27F38509" w14:textId="77777777" w:rsidR="00ED7C1D" w:rsidRDefault="00CD10D1">
      <w:pPr>
        <w:rPr>
          <w:lang w:eastAsia="fr-FR"/>
        </w:rPr>
      </w:pPr>
      <w:r>
        <w:rPr>
          <w:lang w:eastAsia="fr-FR"/>
        </w:rPr>
        <w:t>https://eur-lex.europa.eu/legal-content/FR/TXT/?uri=CELEX%3A02018R1726-20230606</w:t>
      </w:r>
    </w:p>
    <w:p w14:paraId="444383CF" w14:textId="77777777" w:rsidR="00ED7C1D" w:rsidRDefault="00CD10D1">
      <w:pPr>
        <w:rPr>
          <w:lang w:eastAsia="fr-FR"/>
        </w:rPr>
      </w:pPr>
      <w:r>
        <w:rPr>
          <w:lang w:eastAsia="fr-FR"/>
        </w:rPr>
        <w:t>-</w:t>
      </w:r>
      <w:r>
        <w:rPr>
          <w:lang w:eastAsia="fr-FR"/>
        </w:rPr>
        <w:tab/>
        <w:t>du règlement (UE) 2016/679 « RGPD » (règlement général sur la protection des données) :</w:t>
      </w:r>
    </w:p>
    <w:p w14:paraId="6D24785C" w14:textId="77777777" w:rsidR="00ED7C1D" w:rsidRDefault="00CD10D1">
      <w:pPr>
        <w:rPr>
          <w:lang w:eastAsia="fr-FR"/>
        </w:rPr>
      </w:pPr>
      <w:r>
        <w:rPr>
          <w:lang w:eastAsia="fr-FR"/>
        </w:rPr>
        <w:t>https://eur-lex.europa.eu/legal-content/FR/TXT/?uri=CELEX%3A02016R0679-20160504</w:t>
      </w:r>
    </w:p>
    <w:p w14:paraId="2B2A4B4C" w14:textId="77777777" w:rsidR="00ED7C1D" w:rsidRDefault="00CD10D1">
      <w:pPr>
        <w:rPr>
          <w:lang w:eastAsia="fr-FR"/>
        </w:rPr>
      </w:pPr>
      <w:r>
        <w:rPr>
          <w:lang w:eastAsia="fr-FR"/>
        </w:rPr>
        <w:t>-</w:t>
      </w:r>
      <w:r>
        <w:rPr>
          <w:lang w:eastAsia="fr-FR"/>
        </w:rPr>
        <w:tab/>
        <w:t>de la directive n° 2016/680 « Police-Justice » :</w:t>
      </w:r>
    </w:p>
    <w:p w14:paraId="10976F6A" w14:textId="77777777" w:rsidR="00ED7C1D" w:rsidRDefault="00CD10D1">
      <w:pPr>
        <w:rPr>
          <w:lang w:eastAsia="fr-FR"/>
        </w:rPr>
      </w:pPr>
      <w:r>
        <w:rPr>
          <w:lang w:eastAsia="fr-FR"/>
        </w:rPr>
        <w:t>https://eur-lex.europa.eu/legal-content/FR/TXT/?uri=CELEX%3A02016L0680-20160504</w:t>
      </w:r>
    </w:p>
    <w:p w14:paraId="1C99EFF4" w14:textId="77777777" w:rsidR="00ED7C1D" w:rsidRDefault="00CD10D1">
      <w:pPr>
        <w:rPr>
          <w:lang w:eastAsia="fr-FR"/>
        </w:rPr>
      </w:pPr>
      <w:r>
        <w:rPr>
          <w:lang w:eastAsia="fr-FR"/>
        </w:rPr>
        <w:t>-</w:t>
      </w:r>
      <w:r>
        <w:rPr>
          <w:lang w:eastAsia="fr-FR"/>
        </w:rPr>
        <w:tab/>
        <w:t xml:space="preserve">de la délibération CNIL n° 2022-066 portant avis sur un projet de décret portant création d'un traitement automatisé de données à caractère personnel dénommé « dispositif de </w:t>
      </w:r>
      <w:proofErr w:type="spellStart"/>
      <w:r>
        <w:rPr>
          <w:lang w:eastAsia="fr-FR"/>
        </w:rPr>
        <w:t>préenregistrement</w:t>
      </w:r>
      <w:proofErr w:type="spellEnd"/>
      <w:r>
        <w:rPr>
          <w:lang w:eastAsia="fr-FR"/>
        </w:rPr>
        <w:t xml:space="preserve"> » et modifiant le code de la sécurité intérieure :</w:t>
      </w:r>
    </w:p>
    <w:p w14:paraId="58973131" w14:textId="77777777" w:rsidR="00ED7C1D" w:rsidRDefault="00CD10D1">
      <w:pPr>
        <w:rPr>
          <w:lang w:eastAsia="fr-FR"/>
        </w:rPr>
      </w:pPr>
      <w:r>
        <w:rPr>
          <w:lang w:eastAsia="fr-FR"/>
        </w:rPr>
        <w:t>https://www.legifrance.gouv.fr/jorf/id/JORFTEXT000046174704</w:t>
      </w:r>
    </w:p>
    <w:p w14:paraId="3B46FE91" w14:textId="77777777" w:rsidR="00ED7C1D" w:rsidRDefault="00CD10D1">
      <w:pPr>
        <w:rPr>
          <w:lang w:eastAsia="fr-FR"/>
        </w:rPr>
      </w:pPr>
      <w:r>
        <w:rPr>
          <w:lang w:eastAsia="fr-FR"/>
        </w:rPr>
        <w:t>-</w:t>
      </w:r>
      <w:r>
        <w:rPr>
          <w:lang w:eastAsia="fr-FR"/>
        </w:rPr>
        <w:tab/>
        <w:t>de la délibération CNIL n° 2023-045 portant avis sur un projet de décret portant modification des dispositions relatives au traitement automatisé de données à caractère personnel dénommé PARAFE :</w:t>
      </w:r>
    </w:p>
    <w:p w14:paraId="2DA0CB61" w14:textId="77777777" w:rsidR="00ED7C1D" w:rsidRDefault="00CD10D1">
      <w:pPr>
        <w:rPr>
          <w:lang w:eastAsia="fr-FR"/>
        </w:rPr>
      </w:pPr>
      <w:r>
        <w:rPr>
          <w:lang w:eastAsia="fr-FR"/>
        </w:rPr>
        <w:t>https://www.legifrance.gouv.fr/jorf/id/JORFTEXT000047773455</w:t>
      </w:r>
    </w:p>
    <w:p w14:paraId="0CA725C1" w14:textId="77777777" w:rsidR="00ED7C1D" w:rsidRDefault="00CD10D1">
      <w:pPr>
        <w:rPr>
          <w:lang w:eastAsia="fr-FR"/>
        </w:rPr>
      </w:pPr>
      <w:r>
        <w:rPr>
          <w:lang w:eastAsia="fr-FR"/>
        </w:rPr>
        <w:t>-</w:t>
      </w:r>
      <w:r>
        <w:rPr>
          <w:lang w:eastAsia="fr-FR"/>
        </w:rPr>
        <w:tab/>
        <w:t>du RGI (référentiel général d’interopérabilité) V2.0 :</w:t>
      </w:r>
    </w:p>
    <w:p w14:paraId="0360049B" w14:textId="77777777" w:rsidR="00ED7C1D" w:rsidRDefault="00CD10D1">
      <w:pPr>
        <w:rPr>
          <w:lang w:eastAsia="fr-FR"/>
        </w:rPr>
      </w:pPr>
      <w:r>
        <w:rPr>
          <w:lang w:eastAsia="fr-FR"/>
        </w:rPr>
        <w:t>https://www.numerique.gouv.fr/publications/interoperabilite/</w:t>
      </w:r>
    </w:p>
    <w:p w14:paraId="159D5739" w14:textId="77777777" w:rsidR="00ED7C1D" w:rsidRDefault="00CD10D1">
      <w:pPr>
        <w:rPr>
          <w:lang w:eastAsia="fr-FR"/>
        </w:rPr>
      </w:pPr>
      <w:r>
        <w:rPr>
          <w:lang w:eastAsia="fr-FR"/>
        </w:rPr>
        <w:t>-</w:t>
      </w:r>
      <w:r>
        <w:rPr>
          <w:lang w:eastAsia="fr-FR"/>
        </w:rPr>
        <w:tab/>
        <w:t>du cahier des charges d’homologation de l’ANSSI :</w:t>
      </w:r>
    </w:p>
    <w:p w14:paraId="5027DFED" w14:textId="77777777" w:rsidR="00ED7C1D" w:rsidRDefault="00CD10D1">
      <w:pPr>
        <w:rPr>
          <w:lang w:eastAsia="fr-FR"/>
        </w:rPr>
      </w:pPr>
      <w:r>
        <w:rPr>
          <w:lang w:eastAsia="fr-FR"/>
        </w:rPr>
        <w:t>https://cyber.gouv.fr/publications/lhomologation-de-securite-en-neuf-etapes-simples</w:t>
      </w:r>
    </w:p>
    <w:p w14:paraId="24C6661C" w14:textId="77777777" w:rsidR="00ED7C1D" w:rsidRDefault="00CD10D1">
      <w:pPr>
        <w:rPr>
          <w:lang w:eastAsia="fr-FR"/>
        </w:rPr>
      </w:pPr>
      <w:r>
        <w:rPr>
          <w:lang w:eastAsia="fr-FR"/>
        </w:rPr>
        <w:t>-</w:t>
      </w:r>
      <w:r>
        <w:rPr>
          <w:lang w:eastAsia="fr-FR"/>
        </w:rPr>
        <w:tab/>
        <w:t>du document 9303, partie 3 « Spécifications communes à tous les documents de voyage lisibles à la machine (DVLM) », de l’Organisation de l’aviation civile internationale (OACI) :</w:t>
      </w:r>
    </w:p>
    <w:p w14:paraId="6A47FFEF" w14:textId="77777777" w:rsidR="00ED7C1D" w:rsidRDefault="00CD10D1">
      <w:pPr>
        <w:rPr>
          <w:lang w:eastAsia="fr-FR"/>
        </w:rPr>
      </w:pPr>
      <w:r>
        <w:rPr>
          <w:lang w:eastAsia="fr-FR"/>
        </w:rPr>
        <w:t>https://www.icao.int/publications/documents/9303_p3_cons_en.pdf</w:t>
      </w:r>
    </w:p>
    <w:p w14:paraId="673263C4" w14:textId="77777777" w:rsidR="00ED7C1D" w:rsidRDefault="00CD10D1">
      <w:r>
        <w:rPr>
          <w:lang w:eastAsia="fr-FR"/>
        </w:rPr>
        <w:t>Les clauses ne suffisent pas à elles seules pour assurer le respect des obligations relatives aux transferts internationaux conformément au chapitre V du règlement (UE) 2016/679 et/ou de la loi Informatique et libertés.</w:t>
      </w:r>
    </w:p>
    <w:p w14:paraId="132A3E48" w14:textId="77777777" w:rsidR="00ED7C1D" w:rsidRDefault="00CD10D1">
      <w:pPr>
        <w:pStyle w:val="Titre2"/>
      </w:pPr>
      <w:bookmarkStart w:id="3" w:name="_Toc178606555"/>
      <w:r>
        <w:t>Clause 2 : Invariabilité des clauses</w:t>
      </w:r>
      <w:bookmarkEnd w:id="3"/>
      <w:r>
        <w:t xml:space="preserve"> </w:t>
      </w:r>
    </w:p>
    <w:p w14:paraId="56A40F18" w14:textId="77777777" w:rsidR="00ED7C1D" w:rsidRDefault="00CD10D1">
      <w:pPr>
        <w:rPr>
          <w:rFonts w:eastAsia="Times New Roman" w:cs="Times New Roman"/>
          <w:lang w:eastAsia="fr-FR"/>
        </w:rPr>
      </w:pPr>
      <w:r>
        <w:rPr>
          <w:rFonts w:eastAsia="Times New Roman" w:cs="Times New Roman"/>
          <w:lang w:eastAsia="fr-FR"/>
        </w:rPr>
        <w:t xml:space="preserve">Les parties s’engagent à ne pas modifier les clauses, sauf en ce qui concerne l’ajout d’informations aux annexes ou la mise à jour des informations qui y figurent. </w:t>
      </w:r>
    </w:p>
    <w:p w14:paraId="6EE3FBBC" w14:textId="77777777" w:rsidR="00ED7C1D" w:rsidRDefault="00CD10D1">
      <w:r>
        <w:rPr>
          <w:rFonts w:eastAsia="Times New Roman" w:cs="Times New Roman"/>
          <w:lang w:eastAsia="fr-FR"/>
        </w:rPr>
        <w:t xml:space="preserve">Les parties ne sont pour autant pas empêchées d’inclure les clauses contractuelles types définies dans les présentes clauses dans un contrat plus large, ni d’ajouter d’autres clauses ou des garanties supplémentaires, à condition que celles-ci ne contredisent pas, directement </w:t>
      </w:r>
      <w:r>
        <w:rPr>
          <w:rFonts w:eastAsia="Times New Roman" w:cs="Times New Roman"/>
          <w:lang w:eastAsia="fr-FR"/>
        </w:rPr>
        <w:lastRenderedPageBreak/>
        <w:t>ou indirectement, les clauses ou qu’elles ne portent pas atteinte aux libertés et droits fondamentaux des personnes concernées.</w:t>
      </w:r>
    </w:p>
    <w:p w14:paraId="3B3D4A57" w14:textId="77777777" w:rsidR="00ED7C1D" w:rsidRDefault="00CD10D1">
      <w:pPr>
        <w:pStyle w:val="Titre2"/>
      </w:pPr>
      <w:bookmarkStart w:id="4" w:name="_Toc178606556"/>
      <w:r>
        <w:t>Clause 3 : Interprétation</w:t>
      </w:r>
      <w:bookmarkEnd w:id="4"/>
      <w:r>
        <w:t xml:space="preserve"> </w:t>
      </w:r>
    </w:p>
    <w:p w14:paraId="3959CCF0" w14:textId="77777777" w:rsidR="00ED7C1D" w:rsidRDefault="00CD10D1">
      <w:pPr>
        <w:rPr>
          <w:rFonts w:eastAsia="Times New Roman" w:cs="Times New Roman"/>
          <w:lang w:eastAsia="fr-FR"/>
        </w:rPr>
      </w:pPr>
      <w:r>
        <w:rPr>
          <w:rFonts w:eastAsia="Times New Roman" w:cs="Times New Roman"/>
          <w:lang w:eastAsia="fr-FR"/>
        </w:rPr>
        <w:t>Lorsque des termes définis dans le règlement (UE) 2016/679 figurent dans les clauses, ils s’entendent comme dans le règlement en question.</w:t>
      </w:r>
    </w:p>
    <w:p w14:paraId="4517EB27" w14:textId="77777777" w:rsidR="00ED7C1D" w:rsidRDefault="00CD10D1">
      <w:pPr>
        <w:rPr>
          <w:rFonts w:eastAsia="Times New Roman" w:cs="Times New Roman"/>
          <w:lang w:eastAsia="fr-FR"/>
        </w:rPr>
      </w:pPr>
      <w:r>
        <w:rPr>
          <w:rFonts w:eastAsia="Times New Roman" w:cs="Times New Roman"/>
          <w:lang w:eastAsia="fr-FR"/>
        </w:rPr>
        <w:t xml:space="preserve">Les présentes clauses doivent être lues et interprétées à la lumière des dispositions du règlement (UE) 2016/679 et de la loi Informatique et libertés respectivement. </w:t>
      </w:r>
    </w:p>
    <w:p w14:paraId="41A51A73" w14:textId="77777777" w:rsidR="00ED7C1D" w:rsidRDefault="00CD10D1">
      <w:r>
        <w:rPr>
          <w:rFonts w:eastAsia="Times New Roman" w:cs="Times New Roman"/>
          <w:lang w:eastAsia="fr-FR"/>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14:paraId="75F47B1A" w14:textId="77777777" w:rsidR="00ED7C1D" w:rsidRDefault="00CD10D1">
      <w:pPr>
        <w:pStyle w:val="Titre2"/>
      </w:pPr>
      <w:bookmarkStart w:id="5" w:name="_Toc178606557"/>
      <w:r>
        <w:t>Clause 4 : Hiérarchie</w:t>
      </w:r>
      <w:bookmarkEnd w:id="5"/>
      <w:r>
        <w:t xml:space="preserve"> </w:t>
      </w:r>
    </w:p>
    <w:p w14:paraId="3F237FAB" w14:textId="77777777" w:rsidR="00ED7C1D" w:rsidRDefault="00CD10D1">
      <w:pPr>
        <w:spacing w:before="280" w:after="280" w:line="240" w:lineRule="auto"/>
      </w:pPr>
      <w:r>
        <w:rPr>
          <w:rFonts w:eastAsia="Times New Roman" w:cs="Times New Roman"/>
          <w:lang w:eastAsia="fr-FR"/>
        </w:rPr>
        <w:t xml:space="preserve">En cas de contradiction entre les présentes clauses et les dispositions des accords connexes qui existent entre les parties au moment où les présentes clauses sont convenues ou qui sont conclus ultérieurement, les présentes clauses prévaudront. </w:t>
      </w:r>
    </w:p>
    <w:p w14:paraId="4FE59A43" w14:textId="77777777" w:rsidR="00ED7C1D" w:rsidRDefault="00CD10D1">
      <w:pPr>
        <w:pStyle w:val="Titre1"/>
      </w:pPr>
      <w:bookmarkStart w:id="6" w:name="_Toc178606558"/>
      <w:r>
        <w:rPr>
          <w:lang w:eastAsia="fr-FR"/>
        </w:rPr>
        <w:t>SECTION II - OBLIGATIONS DES PARTIES</w:t>
      </w:r>
      <w:bookmarkEnd w:id="6"/>
      <w:r>
        <w:rPr>
          <w:lang w:eastAsia="fr-FR"/>
        </w:rPr>
        <w:t xml:space="preserve"> </w:t>
      </w:r>
    </w:p>
    <w:p w14:paraId="365BDFB2" w14:textId="77777777" w:rsidR="00ED7C1D" w:rsidRDefault="00CD10D1">
      <w:pPr>
        <w:pStyle w:val="Titre2"/>
      </w:pPr>
      <w:bookmarkStart w:id="7" w:name="_Toc178606559"/>
      <w:r>
        <w:t>Clause 5 : Description du ou des traitements</w:t>
      </w:r>
      <w:bookmarkEnd w:id="7"/>
      <w:r>
        <w:t xml:space="preserve"> </w:t>
      </w:r>
    </w:p>
    <w:p w14:paraId="7DA183F4" w14:textId="77777777" w:rsidR="00ED7C1D" w:rsidRDefault="00CD10D1">
      <w:pPr>
        <w:spacing w:before="280" w:after="280" w:line="240" w:lineRule="auto"/>
      </w:pPr>
      <w:r>
        <w:rPr>
          <w:rFonts w:eastAsia="Times New Roman" w:cs="Times New Roman"/>
          <w:lang w:eastAsia="fr-FR"/>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l’annexe 2.</w:t>
      </w:r>
    </w:p>
    <w:p w14:paraId="3850351B" w14:textId="77777777" w:rsidR="00ED7C1D" w:rsidRDefault="00CD10D1">
      <w:pPr>
        <w:pStyle w:val="Titre2"/>
      </w:pPr>
      <w:bookmarkStart w:id="8" w:name="_Toc178606560"/>
      <w:r>
        <w:t>Clause 6 : Obligations des parties</w:t>
      </w:r>
      <w:bookmarkEnd w:id="8"/>
      <w:r>
        <w:t xml:space="preserve"> </w:t>
      </w:r>
    </w:p>
    <w:p w14:paraId="7812243F" w14:textId="77777777" w:rsidR="00ED7C1D" w:rsidRDefault="00CD10D1">
      <w:pPr>
        <w:pStyle w:val="Titre3"/>
      </w:pPr>
      <w:bookmarkStart w:id="9" w:name="_Toc178606561"/>
      <w:bookmarkStart w:id="10" w:name="_Toc111543450"/>
      <w:r>
        <w:t>6.1.   Instructions</w:t>
      </w:r>
      <w:bookmarkEnd w:id="9"/>
      <w:bookmarkEnd w:id="10"/>
      <w:r>
        <w:t xml:space="preserve"> </w:t>
      </w:r>
    </w:p>
    <w:p w14:paraId="6B05841D" w14:textId="77777777" w:rsidR="00ED7C1D" w:rsidRDefault="00CD10D1">
      <w:pPr>
        <w:spacing w:after="0" w:line="240" w:lineRule="auto"/>
      </w:pPr>
      <w:r>
        <w:rPr>
          <w:rFonts w:eastAsia="Times New Roman" w:cs="Times New Roman"/>
          <w:lang w:eastAsia="fr-FR"/>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14:paraId="4DAA36DC" w14:textId="77777777" w:rsidR="00ED7C1D" w:rsidRDefault="00ED7C1D">
      <w:pPr>
        <w:spacing w:after="0" w:line="240" w:lineRule="auto"/>
        <w:rPr>
          <w:rFonts w:eastAsia="Times New Roman" w:cs="Times New Roman"/>
          <w:highlight w:val="yellow"/>
          <w:lang w:eastAsia="fr-FR"/>
        </w:rPr>
      </w:pPr>
    </w:p>
    <w:p w14:paraId="1607662C" w14:textId="77777777" w:rsidR="00ED7C1D" w:rsidRDefault="00CD10D1">
      <w:pPr>
        <w:rPr>
          <w:rFonts w:eastAsia="Times New Roman" w:cs="Times New Roman"/>
          <w:lang w:eastAsia="fr-FR"/>
        </w:rPr>
      </w:pPr>
      <w:r>
        <w:rPr>
          <w:rFonts w:eastAsia="Times New Roman" w:cs="Times New Roman"/>
          <w:lang w:eastAsia="fr-FR"/>
        </w:rPr>
        <w:t>On précisera :</w:t>
      </w:r>
    </w:p>
    <w:p w14:paraId="34E76E11" w14:textId="77777777" w:rsidR="00ED7C1D" w:rsidRDefault="00CD10D1">
      <w:pPr>
        <w:rPr>
          <w:rFonts w:eastAsia="Times New Roman" w:cs="Times New Roman"/>
          <w:lang w:eastAsia="fr-FR"/>
        </w:rPr>
      </w:pPr>
      <w:r>
        <w:rPr>
          <w:rFonts w:eastAsia="Times New Roman" w:cs="Times New Roman"/>
          <w:lang w:eastAsia="fr-FR"/>
        </w:rPr>
        <w:t>Personnes habilitées à donner des instructions : le représentant du pouvoir adjudicateur.</w:t>
      </w:r>
    </w:p>
    <w:p w14:paraId="2D7651FA" w14:textId="77777777" w:rsidR="00ED7C1D" w:rsidRDefault="00CD10D1">
      <w:pPr>
        <w:rPr>
          <w:rFonts w:eastAsia="Times New Roman" w:cs="Times New Roman"/>
          <w:lang w:eastAsia="fr-FR"/>
        </w:rPr>
      </w:pPr>
      <w:r>
        <w:rPr>
          <w:rFonts w:eastAsia="Times New Roman" w:cs="Times New Roman"/>
          <w:lang w:eastAsia="fr-FR"/>
        </w:rPr>
        <w:t>Canal à utiliser : par messagerie (l’adresse mail du responsable de traitement sera communiquée au sous-traitant à l’émission du bon de commande)</w:t>
      </w:r>
    </w:p>
    <w:p w14:paraId="2F33A875" w14:textId="77777777" w:rsidR="00ED7C1D" w:rsidRDefault="00CD10D1">
      <w:pPr>
        <w:rPr>
          <w:rFonts w:eastAsia="Times New Roman" w:cs="Times New Roman"/>
          <w:lang w:eastAsia="fr-FR"/>
        </w:rPr>
      </w:pPr>
      <w:r>
        <w:rPr>
          <w:rFonts w:eastAsia="Times New Roman" w:cs="Times New Roman"/>
          <w:lang w:eastAsia="fr-FR"/>
        </w:rPr>
        <w:t>Personnes habilitées à recevoir les instructions : La personne de contact du titulaire de l’accord-cadre (noms, fonctions, coordonnées) désignée à l’annexe 1</w:t>
      </w:r>
      <w:r w:rsidR="004F14C5">
        <w:rPr>
          <w:rFonts w:eastAsia="Times New Roman" w:cs="Times New Roman"/>
          <w:lang w:eastAsia="fr-FR"/>
        </w:rPr>
        <w:t xml:space="preserve"> </w:t>
      </w:r>
      <w:r>
        <w:rPr>
          <w:rFonts w:eastAsia="Times New Roman" w:cs="Times New Roman"/>
          <w:lang w:eastAsia="fr-FR"/>
        </w:rPr>
        <w:t xml:space="preserve">au </w:t>
      </w:r>
      <w:proofErr w:type="spellStart"/>
      <w:r>
        <w:rPr>
          <w:rFonts w:eastAsia="Times New Roman" w:cs="Times New Roman"/>
          <w:lang w:eastAsia="fr-FR"/>
        </w:rPr>
        <w:t>clausier</w:t>
      </w:r>
      <w:proofErr w:type="spellEnd"/>
      <w:r>
        <w:rPr>
          <w:rFonts w:eastAsia="Times New Roman" w:cs="Times New Roman"/>
          <w:lang w:eastAsia="fr-FR"/>
        </w:rPr>
        <w:t xml:space="preserve"> RGPD en annexe III.2 du CCAP.</w:t>
      </w:r>
    </w:p>
    <w:p w14:paraId="6BD252AA" w14:textId="77777777" w:rsidR="00ED7C1D" w:rsidRDefault="00CD10D1">
      <w:r>
        <w:rPr>
          <w:rFonts w:eastAsia="Times New Roman" w:cs="Times New Roman"/>
          <w:lang w:eastAsia="fr-FR"/>
        </w:rPr>
        <w:lastRenderedPageBreak/>
        <w:t>Le sous-traitant informe immédiatement le responsable du traitement si, selon lui, une instruction donnée par le responsable du traitement constitue une violation du règlement (UE) 2016/679 ou d'autres dispositions du droit de l'Union ou du droit des États membres relatives à la protection des données.</w:t>
      </w:r>
    </w:p>
    <w:p w14:paraId="7EBA2C81" w14:textId="77777777" w:rsidR="00ED7C1D" w:rsidRDefault="00CD10D1">
      <w:pPr>
        <w:pStyle w:val="Titre3"/>
      </w:pPr>
      <w:bookmarkStart w:id="11" w:name="_Toc178606562"/>
      <w:bookmarkStart w:id="12" w:name="_Toc111543451"/>
      <w:r>
        <w:t>6.2.   Limitation de la finalité</w:t>
      </w:r>
      <w:bookmarkEnd w:id="11"/>
      <w:bookmarkEnd w:id="12"/>
      <w:r>
        <w:t xml:space="preserve"> </w:t>
      </w:r>
    </w:p>
    <w:p w14:paraId="474A4EAB" w14:textId="77777777" w:rsidR="00ED7C1D" w:rsidRDefault="00CD10D1">
      <w:pPr>
        <w:spacing w:before="280" w:after="280" w:line="240" w:lineRule="auto"/>
      </w:pPr>
      <w:r>
        <w:rPr>
          <w:rFonts w:eastAsia="Times New Roman" w:cs="Times New Roman"/>
          <w:lang w:eastAsia="fr-FR"/>
        </w:rPr>
        <w:t>Le sous-traitant traite les données à caractère personnel uniquement pour la ou les finalités spécifiques du traitement, telles que définies à l’annexe 2, sauf instruction complémentaire du responsable du traitement.</w:t>
      </w:r>
    </w:p>
    <w:p w14:paraId="08B8CF11" w14:textId="77777777" w:rsidR="00ED7C1D" w:rsidRDefault="00CD10D1">
      <w:pPr>
        <w:pStyle w:val="Titre3"/>
      </w:pPr>
      <w:bookmarkStart w:id="13" w:name="_Toc178606563"/>
      <w:bookmarkStart w:id="14" w:name="_Toc111543452"/>
      <w:r>
        <w:t>6.3.   Durée du traitement des données à caractère personnel</w:t>
      </w:r>
      <w:bookmarkEnd w:id="13"/>
      <w:bookmarkEnd w:id="14"/>
      <w:r>
        <w:t xml:space="preserve"> </w:t>
      </w:r>
    </w:p>
    <w:p w14:paraId="34EC6398" w14:textId="77777777" w:rsidR="00ED7C1D" w:rsidRDefault="00CD10D1">
      <w:pPr>
        <w:spacing w:before="280" w:after="280" w:line="240" w:lineRule="auto"/>
      </w:pPr>
      <w:r>
        <w:rPr>
          <w:rFonts w:eastAsia="Times New Roman" w:cs="Times New Roman"/>
          <w:lang w:eastAsia="fr-FR"/>
        </w:rPr>
        <w:t>Le traitement par le sous-traitant n’a lieu que pendant la durée précisée à l’annexe 2.</w:t>
      </w:r>
    </w:p>
    <w:p w14:paraId="6BB57C55" w14:textId="77777777" w:rsidR="00ED7C1D" w:rsidRDefault="00CD10D1">
      <w:pPr>
        <w:pStyle w:val="Titre3"/>
      </w:pPr>
      <w:bookmarkStart w:id="15" w:name="_Toc178606564"/>
      <w:bookmarkStart w:id="16" w:name="_Toc111543453"/>
      <w:r>
        <w:t>6.4.   Sécurité du traitement</w:t>
      </w:r>
      <w:bookmarkEnd w:id="15"/>
      <w:bookmarkEnd w:id="16"/>
      <w:r>
        <w:t xml:space="preserve"> </w:t>
      </w:r>
    </w:p>
    <w:p w14:paraId="2C6FB8F9" w14:textId="77777777" w:rsidR="00ED7C1D" w:rsidRDefault="00CD10D1">
      <w:pPr>
        <w:rPr>
          <w:rFonts w:eastAsia="Times New Roman" w:cs="Arial"/>
          <w:lang w:eastAsia="fr-FR"/>
        </w:rPr>
      </w:pPr>
      <w:r>
        <w:rPr>
          <w:rFonts w:eastAsia="Times New Roman" w:cs="Times New Roman"/>
          <w:lang w:eastAsia="fr-FR"/>
        </w:rPr>
        <w:t xml:space="preserve">Le sous-traitant met au moins en œuvre les mesures techniques et organisationnelles précisées à l’annexe 3 (au </w:t>
      </w:r>
      <w:proofErr w:type="spellStart"/>
      <w:r>
        <w:rPr>
          <w:rFonts w:eastAsia="Times New Roman" w:cs="Times New Roman"/>
          <w:lang w:eastAsia="fr-FR"/>
        </w:rPr>
        <w:t>clausier</w:t>
      </w:r>
      <w:proofErr w:type="spellEnd"/>
      <w:r>
        <w:rPr>
          <w:rFonts w:eastAsia="Times New Roman" w:cs="Times New Roman"/>
          <w:lang w:eastAsia="fr-FR"/>
        </w:rPr>
        <w:t xml:space="preserve"> RGPD en annexe III.2 du CCAP)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w:t>
      </w:r>
      <w:r>
        <w:rPr>
          <w:rFonts w:eastAsia="Times New Roman" w:cs="Arial"/>
          <w:lang w:eastAsia="fr-FR"/>
        </w:rPr>
        <w:t>que des risques pour les personnes concernées.</w:t>
      </w:r>
    </w:p>
    <w:p w14:paraId="5517F81B" w14:textId="77777777" w:rsidR="00ED7C1D" w:rsidRDefault="00CD10D1">
      <w:pPr>
        <w:rPr>
          <w:rStyle w:val="Policepardfaut1"/>
          <w:rFonts w:cs="Arial"/>
        </w:rPr>
      </w:pPr>
      <w:r>
        <w:rPr>
          <w:rStyle w:val="Policepardfaut1"/>
          <w:rFonts w:cs="Arial"/>
        </w:rPr>
        <w:t>La modification des mesures techniques et organisationnelles déployées pour le Traitement doit être autorisée préalablement par le Responsable de traitement selon les modalités prévues à la clause 7.1. Quelle que soit la modification apportée, le Sous-traitant doit garantir un niveau de sécurité au moins équivalent entre les nouvelles mesures et les anciennes mesures.</w:t>
      </w:r>
    </w:p>
    <w:p w14:paraId="139600DF" w14:textId="77777777" w:rsidR="00ED7C1D" w:rsidRDefault="00CD10D1">
      <w:pPr>
        <w:spacing w:after="0" w:line="240" w:lineRule="auto"/>
      </w:pPr>
      <w:r>
        <w:rPr>
          <w:rFonts w:eastAsia="Times New Roman" w:cs="Times New Roman"/>
          <w:lang w:eastAsia="fr-FR"/>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7CAC356A" w14:textId="77777777" w:rsidR="00ED7C1D" w:rsidRDefault="00CD10D1">
      <w:pPr>
        <w:pStyle w:val="Titre3"/>
      </w:pPr>
      <w:bookmarkStart w:id="17" w:name="_Toc178606565"/>
      <w:bookmarkStart w:id="18" w:name="_Toc111543454"/>
      <w:r>
        <w:t>6.5.   Données sensibles</w:t>
      </w:r>
      <w:bookmarkEnd w:id="17"/>
      <w:bookmarkEnd w:id="18"/>
      <w:r>
        <w:t xml:space="preserve"> </w:t>
      </w:r>
    </w:p>
    <w:p w14:paraId="758A0B81" w14:textId="77777777" w:rsidR="00ED7C1D" w:rsidRDefault="00CD10D1">
      <w:pPr>
        <w:spacing w:before="280" w:after="280" w:line="240" w:lineRule="auto"/>
      </w:pPr>
      <w:r>
        <w:rPr>
          <w:rFonts w:eastAsia="Times New Roman" w:cs="Times New Roman"/>
          <w:lang w:eastAsia="fr-FR"/>
        </w:rPr>
        <w:t xml:space="preserve">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 telles qu’exigées par le Responsable de traitement en annexe 3. </w:t>
      </w:r>
    </w:p>
    <w:p w14:paraId="4BE85890" w14:textId="77777777" w:rsidR="00ED7C1D" w:rsidRDefault="00CD10D1">
      <w:pPr>
        <w:spacing w:before="280" w:after="280" w:line="240" w:lineRule="auto"/>
      </w:pPr>
      <w:r>
        <w:lastRenderedPageBreak/>
        <w:t>Le cas échéant, le responsable de traitement informe le sous-traitant des obligations spécifiques engendrées par ce type de données (par exemple, données de santé nécessitant une certification HDS).</w:t>
      </w:r>
    </w:p>
    <w:p w14:paraId="2B9A5A2A" w14:textId="77777777" w:rsidR="00ED7C1D" w:rsidRDefault="00CD10D1">
      <w:pPr>
        <w:pStyle w:val="Titre3"/>
      </w:pPr>
      <w:bookmarkStart w:id="19" w:name="_Toc178606566"/>
      <w:bookmarkStart w:id="20" w:name="_Toc111543455"/>
      <w:r>
        <w:t>6.6.   Documentation et conformité</w:t>
      </w:r>
      <w:bookmarkEnd w:id="19"/>
      <w:bookmarkEnd w:id="20"/>
      <w:r>
        <w:t xml:space="preserve"> </w:t>
      </w:r>
    </w:p>
    <w:p w14:paraId="5B81CC88" w14:textId="77777777" w:rsidR="00ED7C1D" w:rsidRDefault="00CD10D1">
      <w:pPr>
        <w:rPr>
          <w:rFonts w:cs="Arial"/>
          <w:lang w:eastAsia="fr-FR"/>
        </w:rPr>
      </w:pPr>
      <w:r>
        <w:rPr>
          <w:rFonts w:cs="Arial"/>
          <w:lang w:eastAsia="fr-FR"/>
        </w:rPr>
        <w:t xml:space="preserve">Les parties doivent pouvoir démontrer la conformité avec les présentes clauses. </w:t>
      </w:r>
    </w:p>
    <w:p w14:paraId="1D905DFE" w14:textId="77777777" w:rsidR="00ED7C1D" w:rsidRDefault="00CD10D1">
      <w:pPr>
        <w:rPr>
          <w:rFonts w:cs="Arial"/>
          <w:lang w:eastAsia="fr-FR"/>
        </w:rPr>
      </w:pPr>
      <w:r>
        <w:rPr>
          <w:rFonts w:cs="Arial"/>
          <w:lang w:eastAsia="fr-FR"/>
        </w:rPr>
        <w:t>Le sous-traitant traite de manière rapide et adéquate les demandes du responsable du traitement concernant le traitement des données conformément aux présentes clauses.</w:t>
      </w:r>
    </w:p>
    <w:p w14:paraId="467291EB" w14:textId="77777777" w:rsidR="00ED7C1D" w:rsidRDefault="00CD10D1">
      <w:pPr>
        <w:rPr>
          <w:rFonts w:cs="Arial"/>
          <w:lang w:eastAsia="fr-FR"/>
        </w:rPr>
      </w:pPr>
      <w:r>
        <w:rPr>
          <w:rFonts w:cs="Arial"/>
          <w:lang w:eastAsia="fr-FR"/>
        </w:rPr>
        <w:t>Le sous-traitant met à la disposition du responsable du traitement toutes les informations nécessaires pour démontrer le respect des obligations énoncées dans les présentes clauses et découlant directement du règlement (UE) 2016/679 et/ou de la loi Informatique et libertés.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3454CA80" w14:textId="77777777" w:rsidR="00ED7C1D" w:rsidRDefault="00CD10D1">
      <w:pPr>
        <w:rPr>
          <w:rFonts w:cs="Arial"/>
          <w:color w:val="00000A"/>
        </w:rPr>
      </w:pPr>
      <w:r>
        <w:rPr>
          <w:rFonts w:cs="Arial"/>
          <w:lang w:eastAsia="fr-FR"/>
        </w:rPr>
        <w:t>Les parties mettent à la disposition de l’autorité de contrôle compétente, dès que celle-ci en fait la demande, les informations énoncées dans la présente clause, y compris les résultats de tout audit.</w:t>
      </w:r>
    </w:p>
    <w:p w14:paraId="33E95A15" w14:textId="77777777" w:rsidR="00ED7C1D" w:rsidRDefault="00CD10D1">
      <w:pPr>
        <w:rPr>
          <w:rFonts w:cs="Arial"/>
        </w:rPr>
      </w:pPr>
      <w:r>
        <w:rPr>
          <w:rFonts w:cs="Arial"/>
          <w:color w:val="00000A"/>
        </w:rPr>
        <w:t>Le Sous-traitant doit être en mesure de fournir au Responsable de traitement à tout moment une liste des personnes autorisées à accéder aux données.</w:t>
      </w:r>
    </w:p>
    <w:p w14:paraId="1A319958" w14:textId="77777777" w:rsidR="00ED7C1D" w:rsidRDefault="00CD10D1">
      <w:pPr>
        <w:rPr>
          <w:rFonts w:cs="Arial"/>
        </w:rPr>
      </w:pPr>
      <w:r>
        <w:rPr>
          <w:rFonts w:cs="Arial"/>
          <w:color w:val="00000A"/>
        </w:rPr>
        <w:t xml:space="preserve">Le Sous-traitant doit communiquer sur demande </w:t>
      </w:r>
      <w:bookmarkStart w:id="21" w:name="_Hlk83849740"/>
      <w:r>
        <w:rPr>
          <w:rFonts w:cs="Arial"/>
          <w:color w:val="00000A"/>
        </w:rPr>
        <w:t xml:space="preserve">la liste de tous les lieux de stockage de données (site d’hébergement principal, site(s) de secours, etc.). </w:t>
      </w:r>
      <w:bookmarkEnd w:id="21"/>
      <w:r>
        <w:rPr>
          <w:rFonts w:cs="Arial"/>
          <w:color w:val="00000A"/>
        </w:rPr>
        <w:t xml:space="preserve">Si la faisabilité technique de cette exigence s’avère délicate dans le cadre d’architectures distribuées, il peut être demandé au prestataire d’être en mesure de localiser, </w:t>
      </w:r>
      <w:r>
        <w:rPr>
          <w:rFonts w:cs="Arial"/>
          <w:i/>
          <w:iCs/>
          <w:color w:val="00000A"/>
        </w:rPr>
        <w:t>a posteriori</w:t>
      </w:r>
      <w:r>
        <w:rPr>
          <w:rFonts w:cs="Arial"/>
          <w:color w:val="00000A"/>
        </w:rPr>
        <w:t>, et non en permanence, le lieu de stockage des données, en particulier suite à un incident.</w:t>
      </w:r>
    </w:p>
    <w:p w14:paraId="7BD483E8" w14:textId="77777777" w:rsidR="00ED7C1D" w:rsidRDefault="00CD10D1">
      <w:pPr>
        <w:rPr>
          <w:rFonts w:cs="Arial"/>
        </w:rPr>
      </w:pPr>
      <w:r>
        <w:rPr>
          <w:rStyle w:val="Policepardfaut1"/>
          <w:rFonts w:cs="Arial"/>
          <w:color w:val="00000A"/>
        </w:rPr>
        <w:t>Les équipements (serveurs, postes de travail, réseau) utilisés dans le cadre de l’exécution des prestations confiées au Sous-traitant doivent être localisés dans des locaux sécurisés au sein de l’Union européenne selon les normes en vigueur.</w:t>
      </w:r>
    </w:p>
    <w:p w14:paraId="22D54B4D" w14:textId="77777777" w:rsidR="00ED7C1D" w:rsidRDefault="00CD10D1">
      <w:pPr>
        <w:pStyle w:val="Titre3"/>
      </w:pPr>
      <w:bookmarkStart w:id="22" w:name="_Toc178606567"/>
      <w:bookmarkStart w:id="23" w:name="_Toc111543456"/>
      <w:r>
        <w:t>6.7.   Recours à des sous-traitants ultérieurs</w:t>
      </w:r>
      <w:bookmarkEnd w:id="22"/>
      <w:bookmarkEnd w:id="23"/>
      <w:r>
        <w:t xml:space="preserve"> </w:t>
      </w:r>
    </w:p>
    <w:p w14:paraId="6BB691BA" w14:textId="77777777" w:rsidR="00ED7C1D" w:rsidRDefault="00CD10D1">
      <w:pPr>
        <w:spacing w:before="280" w:after="280" w:line="240" w:lineRule="auto"/>
        <w:rPr>
          <w:rFonts w:eastAsia="Times New Roman" w:cs="Times New Roman"/>
          <w:lang w:eastAsia="fr-FR"/>
        </w:rPr>
      </w:pPr>
      <w:r>
        <w:rPr>
          <w:rFonts w:eastAsia="Times New Roman" w:cs="Times New Roman"/>
          <w:b/>
          <w:lang w:eastAsia="fr-FR"/>
        </w:rPr>
        <w:t>AUTORISATION SPÉCIFIQUE PRÉALABLE:</w:t>
      </w:r>
      <w:r>
        <w:rPr>
          <w:rFonts w:eastAsia="Times New Roman" w:cs="Times New Roman"/>
          <w:lang w:eastAsia="fr-FR"/>
        </w:rPr>
        <w:t xml:space="preserve"> le sous-traitant n’est pas autorisé à sous-traiter à un sous-traitant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3 mois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4, que les parties tiennent à jour.</w:t>
      </w:r>
    </w:p>
    <w:p w14:paraId="560174B8" w14:textId="77777777" w:rsidR="00ED7C1D" w:rsidRDefault="00CD10D1">
      <w:pPr>
        <w:spacing w:before="280" w:after="280" w:line="240" w:lineRule="auto"/>
        <w:rPr>
          <w:rFonts w:eastAsia="Times New Roman" w:cs="Times New Roman"/>
          <w:lang w:eastAsia="fr-FR"/>
        </w:rPr>
      </w:pPr>
      <w:r>
        <w:rPr>
          <w:rFonts w:eastAsia="Times New Roman" w:cs="Times New Roman"/>
          <w:lang w:eastAsia="fr-FR"/>
        </w:rPr>
        <w:t xml:space="preserve">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w:t>
      </w:r>
      <w:r>
        <w:rPr>
          <w:rFonts w:eastAsia="Times New Roman" w:cs="Times New Roman"/>
          <w:lang w:eastAsia="fr-FR"/>
        </w:rPr>
        <w:lastRenderedPageBreak/>
        <w:t>auxquelles il est lui-même soumis en vertu des présentes clauses et du règlement (UE) 2016/679 et/ou de la loi Informatique et libertés.</w:t>
      </w:r>
    </w:p>
    <w:p w14:paraId="10E7A345" w14:textId="77777777" w:rsidR="00ED7C1D" w:rsidRDefault="00CD10D1">
      <w:pPr>
        <w:spacing w:before="280" w:after="280" w:line="240" w:lineRule="auto"/>
        <w:rPr>
          <w:rFonts w:eastAsia="Times New Roman" w:cs="Times New Roman"/>
          <w:lang w:eastAsia="fr-FR"/>
        </w:rPr>
      </w:pPr>
      <w:r>
        <w:rPr>
          <w:rFonts w:eastAsia="Times New Roman" w:cs="Times New Roman"/>
          <w:lang w:eastAsia="fr-FR"/>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216F3B2D" w14:textId="77777777" w:rsidR="00ED7C1D" w:rsidRDefault="00CD10D1">
      <w:pPr>
        <w:spacing w:before="280" w:after="280" w:line="240" w:lineRule="auto"/>
        <w:rPr>
          <w:rFonts w:eastAsia="Times New Roman" w:cs="Times New Roman"/>
          <w:lang w:eastAsia="fr-FR"/>
        </w:rPr>
      </w:pPr>
      <w:r>
        <w:rPr>
          <w:rFonts w:eastAsia="Times New Roman" w:cs="Times New Roman"/>
          <w:lang w:eastAsia="fr-FR"/>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433DEE29" w14:textId="77777777" w:rsidR="00ED7C1D" w:rsidRDefault="00CD10D1">
      <w:pPr>
        <w:spacing w:before="280" w:after="280" w:line="240" w:lineRule="auto"/>
      </w:pPr>
      <w:r>
        <w:rPr>
          <w:rFonts w:eastAsia="Times New Roman" w:cs="Times New Roman"/>
          <w:lang w:eastAsia="fr-FR"/>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39E6794E" w14:textId="77777777" w:rsidR="00ED7C1D" w:rsidRDefault="00CD10D1">
      <w:pPr>
        <w:pStyle w:val="Titre3"/>
      </w:pPr>
      <w:bookmarkStart w:id="24" w:name="_Toc178606568"/>
      <w:bookmarkStart w:id="25" w:name="_Toc111543457"/>
      <w:r>
        <w:t>6.8.   Transferts de données hors de l’Union européenne ou traitement par un prestataire soumis à un droit extraterritorial tiers</w:t>
      </w:r>
      <w:bookmarkEnd w:id="24"/>
      <w:bookmarkEnd w:id="25"/>
    </w:p>
    <w:p w14:paraId="59C87A14" w14:textId="77777777" w:rsidR="00ED7C1D" w:rsidRDefault="00CD10D1">
      <w:pPr>
        <w:rPr>
          <w:lang w:eastAsia="fr-FR"/>
        </w:rPr>
      </w:pPr>
      <w:r>
        <w:rPr>
          <w:lang w:eastAsia="fr-FR"/>
        </w:rPr>
        <w:t>Le Sous-traitant s’engage à informer le Responsable de traitement de la localisation physique des serveurs hébergeant les Données à caractère personnel.</w:t>
      </w:r>
    </w:p>
    <w:p w14:paraId="7B003BCF" w14:textId="77777777" w:rsidR="00ED7C1D" w:rsidRDefault="00CD10D1">
      <w:pPr>
        <w:rPr>
          <w:lang w:eastAsia="fr-FR"/>
        </w:rPr>
      </w:pPr>
      <w:r>
        <w:rPr>
          <w:lang w:eastAsia="fr-FR"/>
        </w:rPr>
        <w:t>Si le sous-traitant est localisé hors de l’Union européenne, ou s’il est localisé dans l’Union, mais soumis à un droit extraterritorial tiers, il doit préalablement fournir au Responsable du traitement les garanties exigées par l’article 46 du règlement (UE) 2016/679 pour validation par le délégué ministériel à la protection des données.</w:t>
      </w:r>
    </w:p>
    <w:p w14:paraId="53037FA4" w14:textId="77777777" w:rsidR="00ED7C1D" w:rsidRDefault="00CD10D1">
      <w:pPr>
        <w:rPr>
          <w:rFonts w:cs="Arial"/>
        </w:rPr>
      </w:pPr>
      <w:r>
        <w:rPr>
          <w:rFonts w:cs="Arial"/>
        </w:rPr>
        <w:t>Le Sous-traitant doit fournir au Responsable de traitement une liste des pays destinataires mise à jour. En cas de modification des pays destinataires par le Sous-traitant, ce dernier doit en informer préalablement le Responsable de traitement.</w:t>
      </w:r>
    </w:p>
    <w:p w14:paraId="484491C4" w14:textId="77777777" w:rsidR="00ED7C1D" w:rsidRDefault="00CD10D1">
      <w:pPr>
        <w:rPr>
          <w:lang w:eastAsia="fr-FR"/>
        </w:rPr>
      </w:pPr>
      <w:r>
        <w:rPr>
          <w:lang w:eastAsia="fr-FR"/>
        </w:rPr>
        <w:t xml:space="preserve">Tout transfert de données vers un pays tiers ou une organisation internationale par le sous-traitant, ou tout traitement par un prestataire soumis à un droit extraterritorial tiers,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à la loi Informatique et libertés. </w:t>
      </w:r>
      <w:r>
        <w:rPr>
          <w:rFonts w:cs="Arial"/>
          <w:lang w:eastAsia="fr-FR"/>
        </w:rPr>
        <w:t>Dans ce cas, le Sous-traitant informe le Responsable de traitement de cette obligation juridique avant le traitement, sauf si le droit concerné interdit une telle information pour des motifs importants d’intérêt public.</w:t>
      </w:r>
    </w:p>
    <w:p w14:paraId="0998E838" w14:textId="77777777" w:rsidR="00ED7C1D" w:rsidRDefault="00CD10D1">
      <w:pPr>
        <w:rPr>
          <w:rFonts w:ascii="Calibri" w:hAnsi="Calibri"/>
        </w:rPr>
      </w:pPr>
      <w:r>
        <w:rPr>
          <w:lang w:eastAsia="fr-FR"/>
        </w:rPr>
        <w:t xml:space="preserve">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ou que ce sous-traitant ultérieur est soumis à un droit extraterritorial tiers, le sous-traitant et le sous-traitant ultérieur peuvent garantir le respect du chapitre V du règlement (UE) 2016/679 ou de la loi Informatique et libertés en utilisant les clauses contractuelles types adoptées par la Commission sur la base de l’article 46, paragraphe 2, du règlement (UE) 2016/679, </w:t>
      </w:r>
      <w:r>
        <w:rPr>
          <w:b/>
          <w:bCs/>
          <w:lang w:eastAsia="fr-FR"/>
        </w:rPr>
        <w:t xml:space="preserve">pour autant que les conditions d’utilisation de ces clauses contractuelles </w:t>
      </w:r>
      <w:r>
        <w:rPr>
          <w:b/>
          <w:bCs/>
          <w:lang w:eastAsia="fr-FR"/>
        </w:rPr>
        <w:lastRenderedPageBreak/>
        <w:t>types soient remplies et que les garanties exigées par le RGPD et par la loi Informatique et libertés lui soient préalablement soumises pour validation par le délégué ministériel à la protection des données.</w:t>
      </w:r>
    </w:p>
    <w:p w14:paraId="4A1161EB" w14:textId="77777777" w:rsidR="00ED7C1D" w:rsidRDefault="00CD10D1">
      <w:pPr>
        <w:pStyle w:val="Titre3"/>
      </w:pPr>
      <w:bookmarkStart w:id="26" w:name="_Toc178606569"/>
      <w:bookmarkStart w:id="27" w:name="_Toc111543458"/>
      <w:r>
        <w:t>6.9 Sort des données</w:t>
      </w:r>
      <w:bookmarkEnd w:id="26"/>
      <w:bookmarkEnd w:id="27"/>
    </w:p>
    <w:p w14:paraId="17E64958" w14:textId="77777777" w:rsidR="00ED7C1D" w:rsidRDefault="00CD10D1">
      <w:pPr>
        <w:rPr>
          <w:rFonts w:cs="Arial"/>
        </w:rPr>
      </w:pPr>
      <w:r>
        <w:rPr>
          <w:rStyle w:val="Policepardfaut1"/>
          <w:rFonts w:cs="Arial"/>
        </w:rPr>
        <w:t>Le Sous-traitant s’engage, dans un délai d’un (1) mois calendaire avant la date de fin de contrat, à interroger le Responsable de traitement sur le sort des données traitées. Au choix du Responsable de traitement, le Sous-traitant s’engage à :</w:t>
      </w:r>
    </w:p>
    <w:p w14:paraId="789867B1" w14:textId="77777777" w:rsidR="00ED7C1D" w:rsidRDefault="00CD10D1">
      <w:pPr>
        <w:pStyle w:val="Paragraphedeliste"/>
        <w:numPr>
          <w:ilvl w:val="0"/>
          <w:numId w:val="2"/>
        </w:numPr>
      </w:pPr>
      <w:proofErr w:type="gramStart"/>
      <w:r>
        <w:rPr>
          <w:rFonts w:cs="Arial"/>
        </w:rPr>
        <w:t>détruire</w:t>
      </w:r>
      <w:proofErr w:type="gramEnd"/>
      <w:r>
        <w:rPr>
          <w:rFonts w:cs="Arial"/>
        </w:rPr>
        <w:t xml:space="preserve"> toutes les Données à caractère personnel ;</w:t>
      </w:r>
    </w:p>
    <w:p w14:paraId="09CEF062" w14:textId="77777777" w:rsidR="00ED7C1D" w:rsidRDefault="00CD10D1">
      <w:pPr>
        <w:pStyle w:val="Paragraphedeliste"/>
        <w:numPr>
          <w:ilvl w:val="0"/>
          <w:numId w:val="2"/>
        </w:numPr>
      </w:pPr>
      <w:proofErr w:type="gramStart"/>
      <w:r>
        <w:rPr>
          <w:rFonts w:cs="Arial"/>
        </w:rPr>
        <w:t>renvoyer</w:t>
      </w:r>
      <w:proofErr w:type="gramEnd"/>
      <w:r>
        <w:rPr>
          <w:rFonts w:cs="Arial"/>
        </w:rPr>
        <w:t xml:space="preserve"> toutes les Données à caractère personnel au Responsable de traitement sous un format exploitable à préciser. Le renvoi doit s’accompagner de la destruction de toutes les copies existantes dans les systèmes d’information du Sous-traitant. Une fois les Données détruites, le Sous-traitant doit justifier par écrit de la destruction ;</w:t>
      </w:r>
    </w:p>
    <w:p w14:paraId="62E89579" w14:textId="77777777" w:rsidR="00ED7C1D" w:rsidRDefault="00CD10D1">
      <w:pPr>
        <w:pStyle w:val="Paragraphedeliste"/>
        <w:numPr>
          <w:ilvl w:val="0"/>
          <w:numId w:val="2"/>
        </w:numPr>
        <w:rPr>
          <w:rStyle w:val="Policepardfaut1"/>
        </w:rPr>
      </w:pPr>
      <w:proofErr w:type="gramStart"/>
      <w:r>
        <w:rPr>
          <w:rStyle w:val="Policepardfaut1"/>
          <w:rFonts w:eastAsia="Times New Roman" w:cs="Arial"/>
          <w:lang w:eastAsia="fr-FR"/>
        </w:rPr>
        <w:t>renvoyer</w:t>
      </w:r>
      <w:proofErr w:type="gramEnd"/>
      <w:r>
        <w:rPr>
          <w:rStyle w:val="Policepardfaut1"/>
          <w:rFonts w:eastAsia="Times New Roman" w:cs="Arial"/>
          <w:lang w:eastAsia="fr-FR"/>
        </w:rPr>
        <w:t xml:space="preserve"> toutes les données à caractère personnel au sous-traitant désigné par le Responsable de traitement. Le renvoi doit s’accompagner de la destruction de toutes les copies existantes dans les systèmes d’information du Sous-traitant. Une fois les Données détruites, le Sous-traitant doit justifier par écrit de la destruction.</w:t>
      </w:r>
    </w:p>
    <w:p w14:paraId="0FBB33CD" w14:textId="77777777" w:rsidR="00ED7C1D" w:rsidRDefault="00CD10D1">
      <w:pPr>
        <w:pStyle w:val="Titre2"/>
      </w:pPr>
      <w:bookmarkStart w:id="28" w:name="_Toc178606571"/>
      <w:r>
        <w:t>Clause 7 </w:t>
      </w:r>
      <w:bookmarkStart w:id="29" w:name="_Hlk83850901"/>
      <w:bookmarkEnd w:id="29"/>
      <w:r>
        <w:t>: Assistance au responsable du traitement</w:t>
      </w:r>
      <w:bookmarkEnd w:id="28"/>
      <w:r>
        <w:t xml:space="preserve"> </w:t>
      </w:r>
    </w:p>
    <w:p w14:paraId="1BBF0815" w14:textId="77777777" w:rsidR="00ED7C1D" w:rsidRDefault="00CD10D1">
      <w:r>
        <w:rPr>
          <w:lang w:eastAsia="fr-FR"/>
        </w:rPr>
        <w:t>Le responsable du traitement des données charge le sous-traitant de répondre aux demandes des personnes concernées. Le Responsable de traitement les transmet au Sous-traitant, ou bien un dispositif à décrire est mis en place pour que la personne saisisse directement le Sous-traitant.</w:t>
      </w:r>
    </w:p>
    <w:p w14:paraId="0AA5C17C" w14:textId="77777777" w:rsidR="00ED7C1D" w:rsidRDefault="00CD10D1">
      <w:pPr>
        <w:rPr>
          <w:rFonts w:eastAsia="Times New Roman" w:cs="Times New Roman"/>
          <w:lang w:eastAsia="fr-FR"/>
        </w:rPr>
      </w:pPr>
      <w:r>
        <w:rPr>
          <w:rFonts w:eastAsia="Times New Roman" w:cs="Times New Roman"/>
          <w:lang w:eastAsia="fr-FR"/>
        </w:rPr>
        <w:t>Le sous-traitant prête assistance au responsable du traitement pour ce qui est de remplir l’obligation qui lui incombe de répondre aux demandes des personnes concernées d’exercer leurs droits. Dans l’exécution de ses obligations de la présente clause, le sous-traitant se conforme aux instructions du responsable du traitement.</w:t>
      </w:r>
    </w:p>
    <w:p w14:paraId="13FC59D6" w14:textId="77777777" w:rsidR="00ED7C1D" w:rsidRDefault="00CD10D1">
      <w:pPr>
        <w:spacing w:line="240" w:lineRule="auto"/>
        <w:rPr>
          <w:rFonts w:eastAsia="Times New Roman" w:cs="Times New Roman"/>
          <w:lang w:eastAsia="fr-FR"/>
        </w:rPr>
      </w:pPr>
      <w:r>
        <w:rPr>
          <w:rFonts w:eastAsia="Times New Roman" w:cs="Times New Roman"/>
          <w:lang w:eastAsia="fr-FR"/>
        </w:rPr>
        <w:t>Outre l’obligation incombant au sous-traitant d’assister le responsable du traitement en vertu de la clause 8, le sous-traitant aide en outre le responsable du traitement à garantir le respect des obligations suivantes, compte tenu des informations dont dispose le sous-traitant:</w:t>
      </w:r>
    </w:p>
    <w:p w14:paraId="530F2B87" w14:textId="77777777" w:rsidR="00ED7C1D" w:rsidRDefault="00CD10D1">
      <w:pPr>
        <w:pStyle w:val="Paragraphedeliste"/>
        <w:numPr>
          <w:ilvl w:val="0"/>
          <w:numId w:val="8"/>
        </w:numPr>
        <w:rPr>
          <w:lang w:eastAsia="fr-FR"/>
        </w:rPr>
      </w:pPr>
      <w:proofErr w:type="gramStart"/>
      <w:r>
        <w:rPr>
          <w:lang w:eastAsia="fr-FR"/>
        </w:rPr>
        <w:t>l’obligation</w:t>
      </w:r>
      <w:proofErr w:type="gramEnd"/>
      <w:r>
        <w:rPr>
          <w:lang w:eastAsia="fr-FR"/>
        </w:rPr>
        <w:t xml:space="preserve"> de procéder à une évaluation de l’incidence des opérations de traitement envisagées sur la protection des données à caractère personnel («analyse d’impact relative à la protection des données») lorsqu’un type de traitement est susceptible de présenter un risque élevé pour les droits et libertés des personnes physiques;</w:t>
      </w:r>
    </w:p>
    <w:p w14:paraId="0805AA25" w14:textId="77777777" w:rsidR="00ED7C1D" w:rsidRDefault="00CD10D1">
      <w:pPr>
        <w:pStyle w:val="Paragraphedeliste"/>
        <w:numPr>
          <w:ilvl w:val="0"/>
          <w:numId w:val="8"/>
        </w:numPr>
        <w:rPr>
          <w:lang w:eastAsia="fr-FR"/>
        </w:rPr>
      </w:pPr>
      <w:proofErr w:type="gramStart"/>
      <w:r>
        <w:rPr>
          <w:lang w:eastAsia="fr-FR"/>
        </w:rPr>
        <w:t>l’obligation</w:t>
      </w:r>
      <w:proofErr w:type="gramEnd"/>
      <w:r>
        <w:rPr>
          <w:lang w:eastAsia="fr-FR"/>
        </w:rPr>
        <w:t xml:space="preserve">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p>
    <w:p w14:paraId="5C5D0796" w14:textId="77777777" w:rsidR="00ED7C1D" w:rsidRDefault="00CD10D1">
      <w:pPr>
        <w:pStyle w:val="Paragraphedeliste"/>
        <w:numPr>
          <w:ilvl w:val="0"/>
          <w:numId w:val="8"/>
        </w:numPr>
        <w:rPr>
          <w:lang w:eastAsia="fr-FR"/>
        </w:rPr>
      </w:pPr>
      <w:proofErr w:type="gramStart"/>
      <w:r>
        <w:rPr>
          <w:lang w:eastAsia="fr-FR"/>
        </w:rPr>
        <w:t>l’obligation</w:t>
      </w:r>
      <w:proofErr w:type="gramEnd"/>
      <w:r>
        <w:rPr>
          <w:lang w:eastAsia="fr-FR"/>
        </w:rPr>
        <w:t xml:space="preserve">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77F8DD88" w14:textId="77777777" w:rsidR="00ED7C1D" w:rsidRDefault="00CD10D1">
      <w:pPr>
        <w:pStyle w:val="Paragraphedeliste"/>
        <w:numPr>
          <w:ilvl w:val="0"/>
          <w:numId w:val="8"/>
        </w:numPr>
        <w:rPr>
          <w:lang w:eastAsia="fr-FR"/>
        </w:rPr>
      </w:pPr>
      <w:proofErr w:type="gramStart"/>
      <w:r>
        <w:rPr>
          <w:lang w:eastAsia="fr-FR"/>
        </w:rPr>
        <w:t>les</w:t>
      </w:r>
      <w:proofErr w:type="gramEnd"/>
      <w:r>
        <w:rPr>
          <w:lang w:eastAsia="fr-FR"/>
        </w:rPr>
        <w:t xml:space="preserve"> obligations prévues à  l’article 32 du règlement (UE) 2016/679</w:t>
      </w:r>
    </w:p>
    <w:p w14:paraId="215794A8" w14:textId="77777777" w:rsidR="00ED7C1D" w:rsidRDefault="00CD10D1">
      <w:r>
        <w:rPr>
          <w:rFonts w:eastAsia="Times New Roman" w:cs="Times New Roman"/>
          <w:lang w:eastAsia="fr-FR"/>
        </w:rPr>
        <w:t xml:space="preserve">L’annexe 3 (au </w:t>
      </w:r>
      <w:proofErr w:type="spellStart"/>
      <w:r>
        <w:rPr>
          <w:rFonts w:eastAsia="Times New Roman" w:cs="Times New Roman"/>
          <w:lang w:eastAsia="fr-FR"/>
        </w:rPr>
        <w:t>clausier</w:t>
      </w:r>
      <w:proofErr w:type="spellEnd"/>
      <w:r>
        <w:rPr>
          <w:rFonts w:eastAsia="Times New Roman" w:cs="Times New Roman"/>
          <w:lang w:eastAsia="fr-FR"/>
        </w:rPr>
        <w:t xml:space="preserve"> RGPD en annexe III.2 du CCAP) précise les mesures techniques et organisationnelles appropriées par lesquelles le sous-traitant est tenu de prêter assistance au </w:t>
      </w:r>
      <w:r>
        <w:rPr>
          <w:rFonts w:eastAsia="Times New Roman" w:cs="Times New Roman"/>
          <w:lang w:eastAsia="fr-FR"/>
        </w:rPr>
        <w:lastRenderedPageBreak/>
        <w:t>responsable du traitement dans l’application de la présente clause, ainsi que la portée et l’étendue de l’assistance requise.</w:t>
      </w:r>
    </w:p>
    <w:p w14:paraId="37EEBA63" w14:textId="77777777" w:rsidR="00ED7C1D" w:rsidRDefault="00CD10D1">
      <w:pPr>
        <w:pStyle w:val="Titre2"/>
      </w:pPr>
      <w:bookmarkStart w:id="30" w:name="_Toc178606572"/>
      <w:r>
        <w:t>Clause 8 : Notification de violations de données à caractère personnel</w:t>
      </w:r>
      <w:bookmarkEnd w:id="30"/>
      <w:r>
        <w:t xml:space="preserve"> </w:t>
      </w:r>
    </w:p>
    <w:p w14:paraId="5C713B22" w14:textId="77777777" w:rsidR="00ED7C1D" w:rsidRDefault="00CD10D1">
      <w:pPr>
        <w:spacing w:before="280" w:after="280" w:line="240" w:lineRule="auto"/>
      </w:pPr>
      <w:r>
        <w:rPr>
          <w:rFonts w:eastAsia="Times New Roman" w:cs="Times New Roman"/>
          <w:lang w:eastAsia="fr-FR"/>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de la loi Informatique et libertés.</w:t>
      </w:r>
    </w:p>
    <w:p w14:paraId="7EF67904" w14:textId="77777777" w:rsidR="00ED7C1D" w:rsidRDefault="00CD10D1">
      <w:pPr>
        <w:pStyle w:val="Titre3"/>
      </w:pPr>
      <w:bookmarkStart w:id="31" w:name="_Toc178606573"/>
      <w:r>
        <w:rPr>
          <w:lang w:eastAsia="fr-FR"/>
        </w:rPr>
        <w:t>8.1.   Violation de données en rapport avec des données traitées par le responsable du traitement</w:t>
      </w:r>
      <w:bookmarkEnd w:id="31"/>
      <w:r>
        <w:rPr>
          <w:lang w:eastAsia="fr-FR"/>
        </w:rPr>
        <w:t xml:space="preserve"> </w:t>
      </w:r>
    </w:p>
    <w:p w14:paraId="508D7D59" w14:textId="77777777" w:rsidR="00ED7C1D" w:rsidRDefault="00CD10D1">
      <w:pPr>
        <w:spacing w:before="280" w:after="280" w:line="240" w:lineRule="auto"/>
        <w:rPr>
          <w:rFonts w:eastAsia="Times New Roman" w:cs="Times New Roman"/>
          <w:lang w:eastAsia="fr-FR"/>
        </w:rPr>
      </w:pPr>
      <w:r>
        <w:rPr>
          <w:rFonts w:eastAsia="Times New Roman" w:cs="Times New Roman"/>
          <w:lang w:eastAsia="fr-FR"/>
        </w:rPr>
        <w:t>En cas de violation de données à caractère personnel en rapport avec des données traitées par le responsable du traitement, le sous-traitant prête assistance au responsable du traitement :</w:t>
      </w:r>
    </w:p>
    <w:p w14:paraId="5F0E9293" w14:textId="77777777" w:rsidR="00ED7C1D" w:rsidRDefault="00CD10D1">
      <w:pPr>
        <w:pStyle w:val="Paragraphedeliste"/>
        <w:numPr>
          <w:ilvl w:val="0"/>
          <w:numId w:val="3"/>
        </w:numPr>
        <w:spacing w:after="0" w:line="240" w:lineRule="auto"/>
        <w:rPr>
          <w:rFonts w:eastAsia="Times New Roman" w:cs="Times New Roman"/>
          <w:lang w:eastAsia="fr-FR"/>
        </w:rPr>
      </w:pPr>
      <w:r>
        <w:rPr>
          <w:rFonts w:eastAsia="Times New Roman" w:cs="Times New Roman"/>
          <w:lang w:eastAsia="fr-FR"/>
        </w:rPr>
        <w:t>Aux fins de la notification de la violation de données à caractère personnel à l’autorité d contrôle compétente, éventuellement décidée et effectuée par le responsable de traitement dans les meilleurs délais après que le responsable du traitement en a eu connaissance ;</w:t>
      </w:r>
    </w:p>
    <w:p w14:paraId="4D1A0A09" w14:textId="77777777" w:rsidR="00ED7C1D" w:rsidRDefault="00CD10D1">
      <w:pPr>
        <w:pStyle w:val="Paragraphedeliste"/>
        <w:numPr>
          <w:ilvl w:val="0"/>
          <w:numId w:val="3"/>
        </w:numPr>
        <w:spacing w:after="0" w:line="240" w:lineRule="auto"/>
        <w:rPr>
          <w:rFonts w:eastAsia="Times New Roman" w:cs="Times New Roman"/>
          <w:lang w:eastAsia="fr-FR"/>
        </w:rPr>
      </w:pPr>
      <w:r>
        <w:rPr>
          <w:rFonts w:eastAsia="Times New Roman" w:cs="Times New Roman"/>
          <w:lang w:eastAsia="fr-FR"/>
        </w:rPr>
        <w:t>Aux fins de l’obtention des informations suivantes qui doivent inclure, au moins :</w:t>
      </w:r>
    </w:p>
    <w:tbl>
      <w:tblPr>
        <w:tblW w:w="8872" w:type="dxa"/>
        <w:tblInd w:w="708" w:type="dxa"/>
        <w:tblLayout w:type="fixed"/>
        <w:tblCellMar>
          <w:left w:w="0" w:type="dxa"/>
          <w:right w:w="0" w:type="dxa"/>
        </w:tblCellMar>
        <w:tblLook w:val="0000" w:firstRow="0" w:lastRow="0" w:firstColumn="0" w:lastColumn="0" w:noHBand="0" w:noVBand="0"/>
      </w:tblPr>
      <w:tblGrid>
        <w:gridCol w:w="199"/>
        <w:gridCol w:w="8673"/>
      </w:tblGrid>
      <w:tr w:rsidR="00ED7C1D" w14:paraId="2F160726" w14:textId="77777777">
        <w:tc>
          <w:tcPr>
            <w:tcW w:w="199" w:type="dxa"/>
            <w:shd w:val="clear" w:color="auto" w:fill="auto"/>
          </w:tcPr>
          <w:p w14:paraId="7AFFE60A" w14:textId="77777777" w:rsidR="00ED7C1D" w:rsidRDefault="00CD10D1">
            <w:pPr>
              <w:pStyle w:val="Paragraphedeliste"/>
              <w:numPr>
                <w:ilvl w:val="0"/>
                <w:numId w:val="4"/>
              </w:numPr>
              <w:spacing w:after="0" w:line="240" w:lineRule="auto"/>
            </w:pPr>
            <w:r>
              <w:rPr>
                <w:rFonts w:eastAsia="Times New Roman" w:cs="Times New Roman"/>
                <w:lang w:eastAsia="fr-FR"/>
              </w:rPr>
              <w:t>1)</w:t>
            </w:r>
          </w:p>
        </w:tc>
        <w:tc>
          <w:tcPr>
            <w:tcW w:w="8672" w:type="dxa"/>
            <w:shd w:val="clear" w:color="auto" w:fill="auto"/>
          </w:tcPr>
          <w:p w14:paraId="4629079E" w14:textId="77777777" w:rsidR="00ED7C1D" w:rsidRDefault="00CD10D1">
            <w:pPr>
              <w:pStyle w:val="Paragraphedeliste"/>
              <w:numPr>
                <w:ilvl w:val="0"/>
                <w:numId w:val="5"/>
              </w:numPr>
              <w:spacing w:after="0" w:line="240" w:lineRule="auto"/>
              <w:rPr>
                <w:rFonts w:eastAsia="Times New Roman" w:cs="Times New Roman"/>
                <w:lang w:eastAsia="fr-FR"/>
              </w:rPr>
            </w:pPr>
            <w:r>
              <w:rPr>
                <w:rFonts w:eastAsia="Times New Roman" w:cs="Times New Roman"/>
                <w:lang w:eastAsia="fr-FR"/>
              </w:rPr>
              <w:t>La nature des données à caractère personnel, y compris, si possible, les catégories et le nombre approximatif de personnes concernées par la violation et les catégories et le nombre approximatif d’enregistrements de données à caractère personnel concernés ;</w:t>
            </w:r>
          </w:p>
        </w:tc>
      </w:tr>
    </w:tbl>
    <w:p w14:paraId="7B1D12F8" w14:textId="77777777" w:rsidR="00ED7C1D" w:rsidRDefault="00CD10D1">
      <w:pPr>
        <w:pStyle w:val="Paragraphedeliste"/>
        <w:numPr>
          <w:ilvl w:val="0"/>
          <w:numId w:val="5"/>
        </w:numPr>
        <w:spacing w:after="0" w:line="240" w:lineRule="auto"/>
        <w:ind w:left="1428"/>
        <w:rPr>
          <w:rFonts w:eastAsia="Times New Roman" w:cs="Times New Roman"/>
          <w:lang w:eastAsia="fr-FR"/>
        </w:rPr>
      </w:pPr>
      <w:r>
        <w:rPr>
          <w:rFonts w:eastAsia="Times New Roman" w:cs="Times New Roman"/>
          <w:lang w:eastAsia="fr-FR"/>
        </w:rPr>
        <w:t xml:space="preserve">Les conséquences probables de la violation de données à caractère personnel; </w:t>
      </w:r>
    </w:p>
    <w:p w14:paraId="256DAFF4" w14:textId="77777777" w:rsidR="00ED7C1D" w:rsidRDefault="00CD10D1">
      <w:pPr>
        <w:pStyle w:val="Paragraphedeliste"/>
        <w:numPr>
          <w:ilvl w:val="0"/>
          <w:numId w:val="5"/>
        </w:numPr>
        <w:spacing w:after="0" w:line="240" w:lineRule="auto"/>
        <w:ind w:left="1428"/>
        <w:rPr>
          <w:rFonts w:eastAsia="Times New Roman" w:cs="Times New Roman"/>
          <w:lang w:eastAsia="fr-FR"/>
        </w:rPr>
      </w:pPr>
      <w:r>
        <w:rPr>
          <w:rFonts w:eastAsia="Times New Roman" w:cs="Times New Roman"/>
          <w:lang w:eastAsia="fr-FR"/>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7C03E0DB" w14:textId="77777777" w:rsidR="00ED7C1D" w:rsidRDefault="00CD10D1">
      <w:pPr>
        <w:spacing w:before="280" w:after="280" w:line="240" w:lineRule="auto"/>
      </w:pPr>
      <w:r>
        <w:rPr>
          <w:rFonts w:eastAsia="Times New Roman" w:cs="Times New Roman"/>
          <w:lang w:eastAsia="fr-FR"/>
        </w:rPr>
        <w:t>Lorsque, et dans la mesure où, il n’est pas possible de fournir toutes les informations en même temps, le sous-traitant fournit les informations disponibles à ce moment-là et, à mesure qu’elles deviennent disponibles, des informations supplémentaires sont communiquées par la suite dans les meilleurs délais.</w:t>
      </w:r>
    </w:p>
    <w:p w14:paraId="3BD61AC2" w14:textId="77777777" w:rsidR="00ED7C1D" w:rsidRDefault="00CD10D1">
      <w:pPr>
        <w:pStyle w:val="Titre3"/>
      </w:pPr>
      <w:bookmarkStart w:id="32" w:name="_Toc178606574"/>
      <w:r>
        <w:rPr>
          <w:lang w:eastAsia="fr-FR"/>
        </w:rPr>
        <w:t>8.2.   Violation de données en rapport avec des données traitées par le sous-traitant</w:t>
      </w:r>
      <w:bookmarkEnd w:id="32"/>
      <w:r>
        <w:rPr>
          <w:lang w:eastAsia="fr-FR"/>
        </w:rPr>
        <w:t xml:space="preserve"> </w:t>
      </w:r>
    </w:p>
    <w:p w14:paraId="1FCD5F38" w14:textId="77777777" w:rsidR="00ED7C1D" w:rsidRDefault="00CD10D1">
      <w:pPr>
        <w:spacing w:before="280" w:after="280" w:line="240" w:lineRule="auto"/>
        <w:rPr>
          <w:rFonts w:eastAsia="Times New Roman" w:cs="Times New Roman"/>
          <w:lang w:eastAsia="fr-FR"/>
        </w:rPr>
      </w:pPr>
      <w:r>
        <w:rPr>
          <w:rFonts w:eastAsia="Times New Roman" w:cs="Times New Roman"/>
          <w:lang w:eastAsia="fr-FR"/>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24CA998C" w14:textId="77777777" w:rsidR="00ED7C1D" w:rsidRDefault="00CD10D1">
      <w:pPr>
        <w:pStyle w:val="Paragraphedeliste"/>
        <w:numPr>
          <w:ilvl w:val="0"/>
          <w:numId w:val="6"/>
        </w:numPr>
        <w:rPr>
          <w:lang w:eastAsia="fr-FR"/>
        </w:rPr>
      </w:pPr>
      <w:proofErr w:type="gramStart"/>
      <w:r>
        <w:rPr>
          <w:lang w:eastAsia="fr-FR"/>
        </w:rPr>
        <w:t>une</w:t>
      </w:r>
      <w:proofErr w:type="gramEnd"/>
      <w:r>
        <w:rPr>
          <w:lang w:eastAsia="fr-FR"/>
        </w:rPr>
        <w:t xml:space="preserve"> description de la nature de la violation constatée (y compris, si possible, les catégories et le nombre approximatif de personnes concernées par la violation et d'enregistrements de données à caractère personnel concernés) ;</w:t>
      </w:r>
    </w:p>
    <w:p w14:paraId="0B715E2A" w14:textId="77777777" w:rsidR="00ED7C1D" w:rsidRDefault="00CD10D1">
      <w:pPr>
        <w:pStyle w:val="Paragraphedeliste"/>
        <w:numPr>
          <w:ilvl w:val="0"/>
          <w:numId w:val="6"/>
        </w:numPr>
        <w:rPr>
          <w:lang w:eastAsia="fr-FR"/>
        </w:rPr>
      </w:pPr>
      <w:proofErr w:type="gramStart"/>
      <w:r>
        <w:rPr>
          <w:lang w:eastAsia="fr-FR"/>
        </w:rPr>
        <w:t>les</w:t>
      </w:r>
      <w:proofErr w:type="gramEnd"/>
      <w:r>
        <w:rPr>
          <w:lang w:eastAsia="fr-FR"/>
        </w:rPr>
        <w:t xml:space="preserve"> coordonnées d’un point de contact auprès duquel des informations supplémentaires peuvent être obtenues au sujet de la violation de données à caractère personnel ;</w:t>
      </w:r>
    </w:p>
    <w:p w14:paraId="17361D9E" w14:textId="77777777" w:rsidR="00ED7C1D" w:rsidRDefault="00CD10D1">
      <w:pPr>
        <w:pStyle w:val="Paragraphedeliste"/>
        <w:numPr>
          <w:ilvl w:val="0"/>
          <w:numId w:val="6"/>
        </w:numPr>
      </w:pPr>
      <w:proofErr w:type="gramStart"/>
      <w:r>
        <w:rPr>
          <w:lang w:eastAsia="fr-FR"/>
        </w:rPr>
        <w:lastRenderedPageBreak/>
        <w:t>ses</w:t>
      </w:r>
      <w:proofErr w:type="gramEnd"/>
      <w:r>
        <w:rPr>
          <w:lang w:eastAsia="fr-FR"/>
        </w:rPr>
        <w:t xml:space="preserve"> conséquences probables et les mesures prises ou les mesures qu’il est proposé de prendre pour remédier à la violation, y compris pour en atténuer les éventuelles conséquences négatives.</w:t>
      </w:r>
    </w:p>
    <w:p w14:paraId="121AFE42" w14:textId="77777777" w:rsidR="00ED7C1D" w:rsidRDefault="00CD10D1">
      <w:r>
        <w:rPr>
          <w:lang w:eastAsia="fr-FR"/>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3098E4DF" w14:textId="77777777" w:rsidR="00ED7C1D" w:rsidRDefault="00CD10D1">
      <w:r>
        <w:rPr>
          <w:lang w:eastAsia="fr-FR"/>
        </w:rPr>
        <w:t>La décision de notifier ou pas cette violation à l’autorité de protection des données, ainsi qu’aux personnes concernées, et la forme de la communication éventuelle, relèvent du responsable de traitement uniquement. Sauf instruction contraire, c’est lui qui procède à ces notifications et à la communication.</w:t>
      </w:r>
    </w:p>
    <w:p w14:paraId="74911002" w14:textId="77777777" w:rsidR="00ED7C1D" w:rsidRDefault="00CD10D1">
      <w:r>
        <w:rPr>
          <w:lang w:eastAsia="fr-FR"/>
        </w:rPr>
        <w:t xml:space="preserve">Les parties définissent à l’annexe 3 </w:t>
      </w:r>
      <w:r>
        <w:rPr>
          <w:rFonts w:eastAsia="Times New Roman" w:cs="Times New Roman"/>
          <w:lang w:eastAsia="fr-FR"/>
        </w:rPr>
        <w:t xml:space="preserve">(au </w:t>
      </w:r>
      <w:proofErr w:type="spellStart"/>
      <w:r>
        <w:rPr>
          <w:rFonts w:eastAsia="Times New Roman" w:cs="Times New Roman"/>
          <w:lang w:eastAsia="fr-FR"/>
        </w:rPr>
        <w:t>clausier</w:t>
      </w:r>
      <w:proofErr w:type="spellEnd"/>
      <w:r>
        <w:rPr>
          <w:rFonts w:eastAsia="Times New Roman" w:cs="Times New Roman"/>
          <w:lang w:eastAsia="fr-FR"/>
        </w:rPr>
        <w:t xml:space="preserve"> RGPD en annexe III.2 du CCAP) </w:t>
      </w:r>
      <w:r>
        <w:rPr>
          <w:lang w:eastAsia="fr-FR"/>
        </w:rPr>
        <w:t>tous les autres éléments que le sous-traitant doit communiquer lorsqu’il prête assistance au responsable du traitement aux fins de la satisfaction des obligations incombant à ce dernier en application des articles 33 et 34 du règlement (UE) 2016/679 ou de la loi Informatique et libertés.</w:t>
      </w:r>
    </w:p>
    <w:p w14:paraId="7C200420" w14:textId="77777777" w:rsidR="00ED7C1D" w:rsidRDefault="00CD10D1">
      <w:pPr>
        <w:pStyle w:val="Titre1"/>
      </w:pPr>
      <w:bookmarkStart w:id="33" w:name="_Toc178606575"/>
      <w:r>
        <w:rPr>
          <w:lang w:eastAsia="fr-FR"/>
        </w:rPr>
        <w:t>SECTION III - DISPOSITIONS FINALES</w:t>
      </w:r>
      <w:bookmarkEnd w:id="33"/>
      <w:r>
        <w:rPr>
          <w:lang w:eastAsia="fr-FR"/>
        </w:rPr>
        <w:t xml:space="preserve"> </w:t>
      </w:r>
    </w:p>
    <w:p w14:paraId="734B32F0" w14:textId="77777777" w:rsidR="00ED7C1D" w:rsidRDefault="00CD10D1">
      <w:pPr>
        <w:pStyle w:val="Titre2"/>
      </w:pPr>
      <w:bookmarkStart w:id="34" w:name="_Toc178606576"/>
      <w:r>
        <w:t>Clause 9 </w:t>
      </w:r>
      <w:bookmarkStart w:id="35" w:name="_Hlk83851061"/>
      <w:bookmarkEnd w:id="35"/>
      <w:r>
        <w:t xml:space="preserve">: Non-respect des clauses et résiliation </w:t>
      </w:r>
      <w:bookmarkEnd w:id="34"/>
    </w:p>
    <w:p w14:paraId="26EE1002" w14:textId="77777777" w:rsidR="00ED7C1D" w:rsidRDefault="00CD10D1">
      <w:r>
        <w:rPr>
          <w:lang w:eastAsia="fr-FR"/>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15E8E915" w14:textId="77777777" w:rsidR="00ED7C1D" w:rsidRDefault="00CD10D1">
      <w:pPr>
        <w:rPr>
          <w:lang w:eastAsia="fr-FR"/>
        </w:rPr>
      </w:pPr>
      <w:r>
        <w:rPr>
          <w:lang w:eastAsia="fr-FR"/>
        </w:rPr>
        <w:t>Le responsable peut également enjoindre au sous-traitant de se mettre en conformité sous astreinte, dans un délai qu’il fixera. L’astreinte pourra atteindre 150 par jour de retard.</w:t>
      </w:r>
    </w:p>
    <w:p w14:paraId="234281A1" w14:textId="77777777" w:rsidR="00ED7C1D" w:rsidRDefault="00CD10D1">
      <w:pPr>
        <w:rPr>
          <w:lang w:eastAsia="fr-FR"/>
        </w:rPr>
      </w:pPr>
      <w:r>
        <w:rPr>
          <w:lang w:eastAsia="fr-FR"/>
        </w:rPr>
        <w:t>Le responsable du traitement est en droit de résilier le contrat dans les hypothèses suivantes :</w:t>
      </w:r>
    </w:p>
    <w:p w14:paraId="4973BD67" w14:textId="77777777" w:rsidR="00ED7C1D" w:rsidRDefault="00CD10D1">
      <w:pPr>
        <w:pStyle w:val="Paragraphedeliste"/>
        <w:numPr>
          <w:ilvl w:val="0"/>
          <w:numId w:val="7"/>
        </w:numPr>
        <w:spacing w:after="0" w:line="240" w:lineRule="auto"/>
        <w:rPr>
          <w:rFonts w:eastAsia="Times New Roman" w:cs="Times New Roman"/>
          <w:lang w:eastAsia="fr-FR"/>
        </w:rPr>
      </w:pPr>
      <w:proofErr w:type="gramStart"/>
      <w:r>
        <w:rPr>
          <w:rFonts w:eastAsia="Times New Roman" w:cs="Times New Roman"/>
          <w:lang w:eastAsia="fr-FR"/>
        </w:rPr>
        <w:t>le</w:t>
      </w:r>
      <w:proofErr w:type="gramEnd"/>
      <w:r>
        <w:rPr>
          <w:rFonts w:eastAsia="Times New Roman" w:cs="Times New Roman"/>
          <w:lang w:eastAsia="fr-FR"/>
        </w:rPr>
        <w:t xml:space="preserve"> traitement de données à caractère personnel par le sous-traitant a été suspendu par le responsable du traitement conformément au premier paragraphe et le respect des présentes clauses n’est pas rétabli dans un délai raisonnable de 15 jours et, en tout état de cause, dans un délai d’un mois à compter de la suspension;</w:t>
      </w:r>
    </w:p>
    <w:p w14:paraId="7835EFEE" w14:textId="77777777" w:rsidR="00ED7C1D" w:rsidRDefault="00ED7C1D">
      <w:pPr>
        <w:spacing w:after="0" w:line="240" w:lineRule="auto"/>
        <w:rPr>
          <w:rFonts w:eastAsia="Times New Roman" w:cs="Times New Roman"/>
          <w:lang w:eastAsia="fr-FR"/>
        </w:rPr>
      </w:pPr>
    </w:p>
    <w:p w14:paraId="484283A8" w14:textId="77777777" w:rsidR="00ED7C1D" w:rsidRDefault="00CD10D1">
      <w:pPr>
        <w:pStyle w:val="Paragraphedeliste"/>
        <w:numPr>
          <w:ilvl w:val="0"/>
          <w:numId w:val="7"/>
        </w:numPr>
        <w:spacing w:line="240" w:lineRule="auto"/>
        <w:rPr>
          <w:rFonts w:eastAsia="Times New Roman" w:cs="Times New Roman"/>
          <w:lang w:eastAsia="fr-FR"/>
        </w:rPr>
      </w:pPr>
      <w:proofErr w:type="gramStart"/>
      <w:r>
        <w:rPr>
          <w:rFonts w:eastAsia="Times New Roman" w:cs="Times New Roman"/>
          <w:lang w:eastAsia="fr-FR"/>
        </w:rPr>
        <w:t>le</w:t>
      </w:r>
      <w:proofErr w:type="gramEnd"/>
      <w:r>
        <w:rPr>
          <w:rFonts w:eastAsia="Times New Roman" w:cs="Times New Roman"/>
          <w:lang w:eastAsia="fr-FR"/>
        </w:rPr>
        <w:t xml:space="preserve"> sous-traitant est en violation grave ou persistante des présentes clauses ou des obligations qui lui incombent en vertu du règlement (UE) 2016/679 et/ou de la loi Informatique et libertés;</w:t>
      </w:r>
    </w:p>
    <w:p w14:paraId="3AC1AA29" w14:textId="77777777" w:rsidR="00ED7C1D" w:rsidRDefault="00ED7C1D">
      <w:pPr>
        <w:pStyle w:val="Paragraphedeliste"/>
        <w:spacing w:line="240" w:lineRule="auto"/>
        <w:rPr>
          <w:rFonts w:eastAsia="Times New Roman" w:cs="Times New Roman"/>
          <w:lang w:eastAsia="fr-FR"/>
        </w:rPr>
      </w:pPr>
    </w:p>
    <w:p w14:paraId="32A9B07A" w14:textId="77777777" w:rsidR="00ED7C1D" w:rsidRDefault="00CD10D1">
      <w:pPr>
        <w:pStyle w:val="Paragraphedeliste"/>
        <w:numPr>
          <w:ilvl w:val="0"/>
          <w:numId w:val="7"/>
        </w:numPr>
        <w:spacing w:line="240" w:lineRule="auto"/>
        <w:rPr>
          <w:rFonts w:eastAsia="Times New Roman" w:cs="Times New Roman"/>
          <w:lang w:eastAsia="fr-FR"/>
        </w:rPr>
      </w:pPr>
      <w:proofErr w:type="gramStart"/>
      <w:r>
        <w:rPr>
          <w:rFonts w:eastAsia="Times New Roman" w:cs="Times New Roman"/>
          <w:lang w:eastAsia="fr-FR"/>
        </w:rPr>
        <w:t>le</w:t>
      </w:r>
      <w:proofErr w:type="gramEnd"/>
      <w:r>
        <w:rPr>
          <w:rFonts w:eastAsia="Times New Roman" w:cs="Times New Roman"/>
          <w:lang w:eastAsia="fr-FR"/>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de la loi Informatique et libertés.</w:t>
      </w:r>
    </w:p>
    <w:p w14:paraId="32E3FA09" w14:textId="77777777" w:rsidR="00ED7C1D" w:rsidRDefault="00CD10D1">
      <w:pPr>
        <w:rPr>
          <w:lang w:eastAsia="fr-FR"/>
        </w:rPr>
      </w:pPr>
      <w:r>
        <w:rPr>
          <w:lang w:eastAsia="fr-FR"/>
        </w:rPr>
        <w:t xml:space="preserve">Le sous-traitant est en droit de résilier le contrat dans la mesure où il concerne le traitement de données à caractère personnel en vertu des présentes clauses lorsque, après avoir informé </w:t>
      </w:r>
      <w:r>
        <w:rPr>
          <w:lang w:eastAsia="fr-FR"/>
        </w:rPr>
        <w:lastRenderedPageBreak/>
        <w:t xml:space="preserve">le responsable du traitement que ses instructions enfreignent les exigences juridiques applicables conformément à la clause 7.1), le responsable du traitement insiste pour que ses instructions soient suivies. </w:t>
      </w:r>
    </w:p>
    <w:p w14:paraId="6EFBEA35" w14:textId="77777777" w:rsidR="00ED7C1D" w:rsidRDefault="00CD10D1">
      <w:r>
        <w:rPr>
          <w:lang w:eastAsia="fr-FR"/>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5154E345" w14:textId="77777777" w:rsidR="00ED7C1D" w:rsidRDefault="00CD10D1">
      <w:pPr>
        <w:spacing w:after="0" w:line="240" w:lineRule="auto"/>
        <w:rPr>
          <w:rFonts w:eastAsia="Times New Roman" w:cs="Times New Roman"/>
          <w:lang w:eastAsia="fr-FR"/>
        </w:rPr>
      </w:pPr>
      <w:r>
        <w:br w:type="page"/>
      </w:r>
    </w:p>
    <w:p w14:paraId="409FBD2F" w14:textId="77777777" w:rsidR="00ED7C1D" w:rsidRDefault="00CD10D1">
      <w:pPr>
        <w:pStyle w:val="Titre1"/>
        <w:numPr>
          <w:ilvl w:val="0"/>
          <w:numId w:val="0"/>
        </w:numPr>
        <w:spacing w:before="0"/>
        <w:ind w:left="360"/>
        <w:rPr>
          <w:lang w:eastAsia="fr-FR"/>
        </w:rPr>
      </w:pPr>
      <w:bookmarkStart w:id="36" w:name="_Toc111543460"/>
      <w:bookmarkStart w:id="37" w:name="_Toc178606577"/>
      <w:r>
        <w:rPr>
          <w:lang w:eastAsia="fr-FR"/>
        </w:rPr>
        <w:lastRenderedPageBreak/>
        <w:t>ANNEXE </w:t>
      </w:r>
      <w:bookmarkStart w:id="38" w:name="_Toc111543461"/>
      <w:bookmarkEnd w:id="36"/>
      <w:r>
        <w:rPr>
          <w:lang w:eastAsia="fr-FR"/>
        </w:rPr>
        <w:t>1 - Liste des parties</w:t>
      </w:r>
      <w:bookmarkEnd w:id="37"/>
      <w:bookmarkEnd w:id="38"/>
    </w:p>
    <w:p w14:paraId="4B299C39" w14:textId="77777777" w:rsidR="00ED7C1D" w:rsidRDefault="00CD10D1">
      <w:pPr>
        <w:spacing w:before="280" w:after="280" w:line="240" w:lineRule="auto"/>
        <w:rPr>
          <w:sz w:val="24"/>
          <w:u w:val="single"/>
        </w:rPr>
      </w:pPr>
      <w:r>
        <w:rPr>
          <w:rFonts w:eastAsia="Times New Roman" w:cs="Times New Roman"/>
          <w:b/>
          <w:bCs/>
          <w:sz w:val="24"/>
          <w:u w:val="single"/>
          <w:lang w:eastAsia="fr-FR"/>
        </w:rPr>
        <w:t>Responsables du traitement</w:t>
      </w:r>
      <w:r>
        <w:rPr>
          <w:rFonts w:eastAsia="Times New Roman" w:cs="Times New Roman"/>
          <w:sz w:val="24"/>
          <w:u w:val="single"/>
          <w:lang w:eastAsia="fr-FR"/>
        </w:rPr>
        <w:t xml:space="preserve">: </w:t>
      </w:r>
    </w:p>
    <w:p w14:paraId="165B22FB" w14:textId="77777777" w:rsidR="00ED7C1D" w:rsidRDefault="00CD10D1">
      <w:pPr>
        <w:pStyle w:val="Paragraphedeliste"/>
        <w:numPr>
          <w:ilvl w:val="0"/>
          <w:numId w:val="9"/>
        </w:numPr>
        <w:spacing w:before="280" w:after="280" w:line="240" w:lineRule="auto"/>
        <w:rPr>
          <w:rFonts w:eastAsia="Times New Roman" w:cs="Times New Roman"/>
          <w:lang w:eastAsia="fr-FR"/>
        </w:rPr>
      </w:pPr>
      <w:r>
        <w:rPr>
          <w:rFonts w:eastAsia="Times New Roman" w:cs="Times New Roman"/>
          <w:lang w:eastAsia="fr-FR"/>
        </w:rPr>
        <w:t xml:space="preserve">Responsable du traitement : </w:t>
      </w:r>
    </w:p>
    <w:p w14:paraId="4159BCB8" w14:textId="77777777" w:rsidR="00ED7C1D" w:rsidRDefault="00CD10D1">
      <w:pPr>
        <w:spacing w:before="280" w:after="280" w:line="240" w:lineRule="auto"/>
        <w:rPr>
          <w:rFonts w:eastAsia="Times New Roman" w:cs="Times New Roman"/>
          <w:lang w:eastAsia="fr-FR"/>
        </w:rPr>
      </w:pPr>
      <w:r>
        <w:rPr>
          <w:rFonts w:eastAsia="Times New Roman" w:cs="Times New Roman"/>
          <w:lang w:eastAsia="fr-FR"/>
        </w:rPr>
        <w:t xml:space="preserve">Le nom et l’adresse mail du responsable de traitement sera communiquée au sous-traitant à l’émission du bon de commande. </w:t>
      </w:r>
    </w:p>
    <w:p w14:paraId="2AA9A7E7" w14:textId="77777777" w:rsidR="00ED7C1D" w:rsidRDefault="00CD10D1">
      <w:pPr>
        <w:pStyle w:val="Paragraphedeliste"/>
        <w:numPr>
          <w:ilvl w:val="0"/>
          <w:numId w:val="9"/>
        </w:numPr>
        <w:spacing w:before="280" w:after="280" w:line="240" w:lineRule="auto"/>
        <w:rPr>
          <w:rFonts w:eastAsia="Times New Roman" w:cs="Times New Roman"/>
          <w:lang w:eastAsia="fr-FR"/>
        </w:rPr>
      </w:pPr>
      <w:r>
        <w:rPr>
          <w:rFonts w:eastAsia="Times New Roman" w:cs="Times New Roman"/>
          <w:lang w:eastAsia="fr-FR"/>
        </w:rPr>
        <w:t>Délégué à la protection des données du responsable du traite</w:t>
      </w:r>
      <w:r w:rsidR="004F14C5">
        <w:rPr>
          <w:rFonts w:eastAsia="Times New Roman" w:cs="Times New Roman"/>
          <w:lang w:eastAsia="fr-FR"/>
        </w:rPr>
        <w:t>ment pour tous les services du Ministère de l’I</w:t>
      </w:r>
      <w:r>
        <w:rPr>
          <w:rFonts w:eastAsia="Times New Roman" w:cs="Times New Roman"/>
          <w:lang w:eastAsia="fr-FR"/>
        </w:rPr>
        <w:t xml:space="preserve">ntérieur : </w:t>
      </w:r>
    </w:p>
    <w:p w14:paraId="499B0037" w14:textId="77777777" w:rsidR="00ED7C1D" w:rsidRDefault="00CD10D1">
      <w:pPr>
        <w:spacing w:after="0" w:line="240" w:lineRule="auto"/>
        <w:jc w:val="center"/>
        <w:rPr>
          <w:rFonts w:eastAsia="Times New Roman" w:cs="Times New Roman"/>
          <w:lang w:eastAsia="fr-FR"/>
        </w:rPr>
      </w:pPr>
      <w:r>
        <w:rPr>
          <w:rFonts w:eastAsia="Times New Roman" w:cs="Times New Roman"/>
          <w:lang w:eastAsia="fr-FR"/>
        </w:rPr>
        <w:t>Monsieur le délégué ministériel à la protection des données, Ministère de l’intérieur,</w:t>
      </w:r>
    </w:p>
    <w:p w14:paraId="5A6419C4" w14:textId="77777777" w:rsidR="00ED7C1D" w:rsidRDefault="00CD10D1">
      <w:pPr>
        <w:spacing w:after="0" w:line="240" w:lineRule="auto"/>
        <w:jc w:val="center"/>
        <w:rPr>
          <w:rFonts w:eastAsia="Times New Roman" w:cs="Times New Roman"/>
          <w:lang w:eastAsia="fr-FR"/>
        </w:rPr>
      </w:pPr>
      <w:r>
        <w:rPr>
          <w:rFonts w:eastAsia="Times New Roman" w:cs="Times New Roman"/>
          <w:lang w:eastAsia="fr-FR"/>
        </w:rPr>
        <w:t>Place Beauvau,</w:t>
      </w:r>
    </w:p>
    <w:p w14:paraId="4D3D6199" w14:textId="77777777" w:rsidR="00ED7C1D" w:rsidRDefault="00CD10D1">
      <w:pPr>
        <w:spacing w:after="0" w:line="240" w:lineRule="auto"/>
        <w:jc w:val="center"/>
        <w:rPr>
          <w:rFonts w:eastAsia="Times New Roman" w:cs="Times New Roman"/>
          <w:lang w:eastAsia="fr-FR"/>
        </w:rPr>
      </w:pPr>
      <w:r>
        <w:rPr>
          <w:rFonts w:eastAsia="Times New Roman" w:cs="Times New Roman"/>
          <w:lang w:eastAsia="fr-FR"/>
        </w:rPr>
        <w:t>75008 Paris.</w:t>
      </w:r>
    </w:p>
    <w:p w14:paraId="46D60BEA" w14:textId="77777777" w:rsidR="00ED7C1D" w:rsidRDefault="00CD10D1">
      <w:pPr>
        <w:spacing w:before="280" w:after="240" w:line="240" w:lineRule="auto"/>
        <w:rPr>
          <w:rFonts w:eastAsia="Times New Roman" w:cs="Times New Roman"/>
          <w:sz w:val="24"/>
          <w:u w:val="single"/>
          <w:lang w:eastAsia="fr-FR"/>
        </w:rPr>
      </w:pPr>
      <w:r>
        <w:rPr>
          <w:rFonts w:eastAsia="Times New Roman" w:cs="Times New Roman"/>
          <w:b/>
          <w:bCs/>
          <w:sz w:val="24"/>
          <w:u w:val="single"/>
          <w:lang w:eastAsia="fr-FR"/>
        </w:rPr>
        <w:t>Sous-traitant(s):</w:t>
      </w:r>
      <w:r>
        <w:rPr>
          <w:rFonts w:eastAsia="Times New Roman" w:cs="Times New Roman"/>
          <w:sz w:val="24"/>
          <w:u w:val="single"/>
          <w:lang w:eastAsia="fr-FR"/>
        </w:rPr>
        <w:t xml:space="preserve"> </w:t>
      </w:r>
    </w:p>
    <w:p w14:paraId="1C93E7FA" w14:textId="77777777" w:rsidR="00ED7C1D" w:rsidRDefault="00CD10D1">
      <w:pPr>
        <w:rPr>
          <w:lang w:eastAsia="fr-FR"/>
        </w:rPr>
      </w:pPr>
      <w:r>
        <w:rPr>
          <w:lang w:eastAsia="fr-FR"/>
        </w:rPr>
        <w:t xml:space="preserve">Les coordonnées du sous-traitant sont celles figurant à l’annexe 3 du </w:t>
      </w:r>
      <w:proofErr w:type="spellStart"/>
      <w:r>
        <w:rPr>
          <w:lang w:eastAsia="fr-FR"/>
        </w:rPr>
        <w:t>clausier</w:t>
      </w:r>
      <w:proofErr w:type="spellEnd"/>
      <w:r>
        <w:rPr>
          <w:lang w:eastAsia="fr-FR"/>
        </w:rPr>
        <w:t xml:space="preserve"> RGPD en annexe III.2 du CCAP de la présente annexe RGPD ou, à défaut, dans l’offre du titulaire.</w:t>
      </w:r>
    </w:p>
    <w:p w14:paraId="71371EBC" w14:textId="77777777" w:rsidR="00ED7C1D" w:rsidRDefault="00CD10D1">
      <w:pPr>
        <w:suppressAutoHyphens w:val="0"/>
        <w:spacing w:after="0" w:line="240" w:lineRule="auto"/>
        <w:jc w:val="left"/>
        <w:rPr>
          <w:rFonts w:eastAsia="Times New Roman" w:cs="Times New Roman"/>
          <w:u w:val="single"/>
          <w:lang w:eastAsia="fr-FR"/>
        </w:rPr>
      </w:pPr>
      <w:r>
        <w:br w:type="page"/>
      </w:r>
    </w:p>
    <w:p w14:paraId="6AA305FC" w14:textId="77777777" w:rsidR="00ED7C1D" w:rsidRDefault="00ED7C1D">
      <w:pPr>
        <w:spacing w:after="0" w:line="240" w:lineRule="auto"/>
        <w:rPr>
          <w:rFonts w:eastAsia="Times New Roman" w:cs="Times New Roman"/>
          <w:sz w:val="24"/>
          <w:u w:val="single"/>
          <w:lang w:eastAsia="fr-FR"/>
        </w:rPr>
      </w:pPr>
    </w:p>
    <w:p w14:paraId="0B297FC6" w14:textId="77777777" w:rsidR="00ED7C1D" w:rsidRDefault="00CD10D1">
      <w:pPr>
        <w:pStyle w:val="Titre1"/>
        <w:rPr>
          <w:lang w:eastAsia="fr-FR"/>
        </w:rPr>
      </w:pPr>
      <w:bookmarkStart w:id="39" w:name="_Toc111543462"/>
      <w:bookmarkStart w:id="40" w:name="_Toc178606578"/>
      <w:commentRangeStart w:id="41"/>
      <w:r>
        <w:rPr>
          <w:lang w:eastAsia="fr-FR"/>
        </w:rPr>
        <w:t>ANNEXE 2 - Description du traitem</w:t>
      </w:r>
      <w:bookmarkStart w:id="42" w:name="_GoBack"/>
      <w:bookmarkEnd w:id="42"/>
      <w:r>
        <w:rPr>
          <w:lang w:eastAsia="fr-FR"/>
        </w:rPr>
        <w:t>ent</w:t>
      </w:r>
      <w:bookmarkEnd w:id="39"/>
      <w:bookmarkEnd w:id="40"/>
      <w:commentRangeEnd w:id="41"/>
      <w:r w:rsidR="00C54800">
        <w:rPr>
          <w:rStyle w:val="Marquedecommentaire"/>
          <w:rFonts w:ascii="Arial" w:eastAsia="Calibri" w:hAnsi="Arial" w:cs="Calibri"/>
          <w:b w:val="0"/>
          <w:caps w:val="0"/>
          <w:color w:val="auto"/>
          <w:lang w:bidi="ar-SA"/>
        </w:rPr>
        <w:commentReference w:id="41"/>
      </w:r>
    </w:p>
    <w:p w14:paraId="52177FA2" w14:textId="77777777" w:rsidR="00C54800" w:rsidRPr="00C948F8" w:rsidRDefault="00C54800" w:rsidP="00C54800">
      <w:pPr>
        <w:spacing w:before="280" w:after="280" w:line="240" w:lineRule="auto"/>
        <w:rPr>
          <w:u w:val="single"/>
        </w:rPr>
      </w:pPr>
      <w:r w:rsidRPr="00C948F8">
        <w:rPr>
          <w:rFonts w:eastAsia="Times New Roman" w:cs="Times New Roman"/>
          <w:u w:val="single"/>
          <w:lang w:eastAsia="fr-FR"/>
        </w:rPr>
        <w:t xml:space="preserve">Catégories de personnes concernées dont les données à caractère personnel sont traitées </w:t>
      </w:r>
    </w:p>
    <w:p w14:paraId="6A88463C" w14:textId="77777777" w:rsidR="00C54800" w:rsidRDefault="00C54800" w:rsidP="00C54800">
      <w:pPr>
        <w:spacing w:before="280" w:after="280" w:line="240" w:lineRule="auto"/>
        <w:rPr>
          <w:rFonts w:eastAsia="Times New Roman" w:cs="Times New Roman"/>
          <w:highlight w:val="yellow"/>
          <w:lang w:eastAsia="fr-FR"/>
        </w:rPr>
      </w:pPr>
      <w:r w:rsidRPr="00B20963">
        <w:rPr>
          <w:rFonts w:eastAsia="Times New Roman" w:cs="Times New Roman"/>
          <w:highlight w:val="yellow"/>
          <w:lang w:eastAsia="fr-FR"/>
        </w:rPr>
        <w:t xml:space="preserve">… </w:t>
      </w:r>
    </w:p>
    <w:p w14:paraId="08FB6A94" w14:textId="77777777" w:rsidR="00C54800" w:rsidRPr="00C948F8" w:rsidRDefault="00C54800" w:rsidP="00C54800">
      <w:pPr>
        <w:pBdr>
          <w:top w:val="single" w:sz="4" w:space="1" w:color="7030A0"/>
          <w:left w:val="single" w:sz="4" w:space="4" w:color="7030A0"/>
          <w:bottom w:val="single" w:sz="4" w:space="1" w:color="7030A0"/>
          <w:right w:val="single" w:sz="4" w:space="4" w:color="7030A0"/>
        </w:pBdr>
        <w:spacing w:before="280" w:after="280" w:line="240" w:lineRule="auto"/>
        <w:rPr>
          <w:rFonts w:eastAsia="Times New Roman" w:cs="Times New Roman"/>
          <w:color w:val="7030A0"/>
          <w:lang w:eastAsia="fr-FR"/>
        </w:rPr>
      </w:pPr>
      <w:r w:rsidRPr="00C948F8">
        <w:rPr>
          <w:rFonts w:eastAsia="Times New Roman" w:cs="Times New Roman"/>
          <w:color w:val="7030A0"/>
          <w:lang w:eastAsia="fr-FR"/>
        </w:rPr>
        <w:t>Exemple :</w:t>
      </w:r>
      <w:r>
        <w:rPr>
          <w:rFonts w:eastAsia="Times New Roman" w:cs="Times New Roman"/>
          <w:color w:val="7030A0"/>
          <w:lang w:eastAsia="fr-FR"/>
        </w:rPr>
        <w:t xml:space="preserve"> U</w:t>
      </w:r>
      <w:r w:rsidRPr="00C948F8">
        <w:rPr>
          <w:rFonts w:eastAsia="Times New Roman" w:cs="Times New Roman"/>
          <w:color w:val="7030A0"/>
          <w:lang w:eastAsia="fr-FR"/>
        </w:rPr>
        <w:t>tilisateurs</w:t>
      </w:r>
      <w:r>
        <w:rPr>
          <w:rFonts w:eastAsia="Times New Roman" w:cs="Times New Roman"/>
          <w:color w:val="7030A0"/>
          <w:lang w:eastAsia="fr-FR"/>
        </w:rPr>
        <w:t xml:space="preserve"> agents du Ministère de l’intérieur</w:t>
      </w:r>
      <w:r w:rsidRPr="00C948F8">
        <w:rPr>
          <w:rFonts w:eastAsia="Times New Roman" w:cs="Times New Roman"/>
          <w:color w:val="7030A0"/>
          <w:lang w:eastAsia="fr-FR"/>
        </w:rPr>
        <w:t>, agents du BADM</w:t>
      </w:r>
    </w:p>
    <w:p w14:paraId="30347021" w14:textId="77777777" w:rsidR="00C54800" w:rsidRPr="00C948F8" w:rsidRDefault="00C54800" w:rsidP="00C54800">
      <w:pPr>
        <w:spacing w:before="280" w:after="280" w:line="240" w:lineRule="auto"/>
        <w:rPr>
          <w:u w:val="single"/>
        </w:rPr>
      </w:pPr>
      <w:r w:rsidRPr="00C948F8">
        <w:rPr>
          <w:rFonts w:eastAsia="Times New Roman" w:cs="Times New Roman"/>
          <w:u w:val="single"/>
          <w:lang w:eastAsia="fr-FR"/>
        </w:rPr>
        <w:t xml:space="preserve">Catégories de données à caractère personnel traitées </w:t>
      </w:r>
    </w:p>
    <w:p w14:paraId="66BE7CF3" w14:textId="77777777" w:rsidR="00C54800" w:rsidRDefault="00C54800" w:rsidP="00C54800">
      <w:pPr>
        <w:spacing w:before="280" w:after="280" w:line="240" w:lineRule="auto"/>
        <w:rPr>
          <w:rFonts w:eastAsia="Times New Roman" w:cs="Times New Roman"/>
          <w:highlight w:val="yellow"/>
          <w:lang w:eastAsia="fr-FR"/>
        </w:rPr>
      </w:pPr>
      <w:r w:rsidRPr="00B20963">
        <w:rPr>
          <w:rFonts w:eastAsia="Times New Roman" w:cs="Times New Roman"/>
          <w:highlight w:val="yellow"/>
          <w:lang w:eastAsia="fr-FR"/>
        </w:rPr>
        <w:t xml:space="preserve">… </w:t>
      </w:r>
    </w:p>
    <w:p w14:paraId="34CC63C0" w14:textId="77777777" w:rsidR="00C54800" w:rsidRDefault="00C54800" w:rsidP="00C54800">
      <w:pPr>
        <w:pBdr>
          <w:top w:val="single" w:sz="4" w:space="1" w:color="7030A0"/>
          <w:left w:val="single" w:sz="4" w:space="4" w:color="7030A0"/>
          <w:bottom w:val="single" w:sz="4" w:space="1" w:color="7030A0"/>
          <w:right w:val="single" w:sz="4" w:space="4" w:color="7030A0"/>
        </w:pBdr>
        <w:spacing w:before="120" w:after="0" w:line="240" w:lineRule="auto"/>
        <w:rPr>
          <w:rFonts w:eastAsia="Times New Roman" w:cs="Times New Roman"/>
          <w:color w:val="7030A0"/>
          <w:lang w:eastAsia="fr-FR"/>
        </w:rPr>
      </w:pPr>
      <w:r w:rsidRPr="00C948F8">
        <w:rPr>
          <w:rFonts w:eastAsia="Times New Roman" w:cs="Times New Roman"/>
          <w:color w:val="7030A0"/>
          <w:lang w:eastAsia="fr-FR"/>
        </w:rPr>
        <w:t>Exemple :</w:t>
      </w:r>
      <w:r>
        <w:rPr>
          <w:rFonts w:eastAsia="Times New Roman" w:cs="Times New Roman"/>
          <w:color w:val="7030A0"/>
          <w:lang w:eastAsia="fr-FR"/>
        </w:rPr>
        <w:t xml:space="preserve"> </w:t>
      </w:r>
      <w:r w:rsidRPr="00C948F8">
        <w:rPr>
          <w:rFonts w:eastAsia="Times New Roman" w:cs="Times New Roman"/>
          <w:color w:val="7030A0"/>
          <w:lang w:eastAsia="fr-FR"/>
        </w:rPr>
        <w:t>Utilisateurs : Nom, Prénom, fonction, adresse email, numéro de téléphone, matricule</w:t>
      </w:r>
      <w:r>
        <w:rPr>
          <w:rFonts w:eastAsia="Times New Roman" w:cs="Times New Roman"/>
          <w:color w:val="7030A0"/>
          <w:lang w:eastAsia="fr-FR"/>
        </w:rPr>
        <w:t xml:space="preserve">, </w:t>
      </w:r>
      <w:proofErr w:type="spellStart"/>
      <w:r>
        <w:rPr>
          <w:rFonts w:eastAsia="Times New Roman" w:cs="Times New Roman"/>
          <w:color w:val="7030A0"/>
          <w:lang w:eastAsia="fr-FR"/>
        </w:rPr>
        <w:t>n°CTIO</w:t>
      </w:r>
      <w:proofErr w:type="spellEnd"/>
      <w:r>
        <w:rPr>
          <w:rFonts w:eastAsia="Times New Roman" w:cs="Times New Roman"/>
          <w:color w:val="7030A0"/>
          <w:lang w:eastAsia="fr-FR"/>
        </w:rPr>
        <w:t xml:space="preserve"> du NOEMI, adresse IP…</w:t>
      </w:r>
    </w:p>
    <w:p w14:paraId="201B7EB0" w14:textId="77777777" w:rsidR="00C54800" w:rsidRPr="00C948F8" w:rsidRDefault="00C54800" w:rsidP="00C54800">
      <w:pPr>
        <w:pBdr>
          <w:top w:val="single" w:sz="4" w:space="1" w:color="7030A0"/>
          <w:left w:val="single" w:sz="4" w:space="4" w:color="7030A0"/>
          <w:bottom w:val="single" w:sz="4" w:space="1" w:color="7030A0"/>
          <w:right w:val="single" w:sz="4" w:space="4" w:color="7030A0"/>
        </w:pBdr>
        <w:spacing w:before="120" w:after="0" w:line="240" w:lineRule="auto"/>
        <w:rPr>
          <w:rFonts w:eastAsia="Times New Roman" w:cs="Times New Roman"/>
          <w:color w:val="7030A0"/>
          <w:lang w:eastAsia="fr-FR"/>
        </w:rPr>
      </w:pPr>
      <w:r w:rsidRPr="00C948F8">
        <w:rPr>
          <w:rFonts w:eastAsia="Times New Roman" w:cs="Times New Roman"/>
          <w:color w:val="7030A0"/>
          <w:lang w:eastAsia="fr-FR"/>
        </w:rPr>
        <w:t xml:space="preserve">Agents du BADM : Nom, Prénom, fonction, adresse email, numéro de téléphone </w:t>
      </w:r>
    </w:p>
    <w:p w14:paraId="59D7F9C8" w14:textId="77777777" w:rsidR="00C54800" w:rsidRPr="00C948F8" w:rsidRDefault="00C54800" w:rsidP="00C54800">
      <w:pPr>
        <w:spacing w:before="280" w:after="280" w:line="240" w:lineRule="auto"/>
        <w:rPr>
          <w:u w:val="single"/>
        </w:rPr>
      </w:pPr>
      <w:r w:rsidRPr="00C948F8">
        <w:rPr>
          <w:rFonts w:eastAsia="Times New Roman" w:cs="Times New Roman"/>
          <w:u w:val="single"/>
          <w:lang w:eastAsia="fr-FR"/>
        </w:rPr>
        <w:t xml:space="preserve">Nature du traitement </w:t>
      </w:r>
    </w:p>
    <w:p w14:paraId="4D96514F" w14:textId="77777777" w:rsidR="00C54800" w:rsidRDefault="00C54800" w:rsidP="00C54800">
      <w:pPr>
        <w:spacing w:before="280" w:after="280" w:line="240" w:lineRule="auto"/>
        <w:rPr>
          <w:rFonts w:eastAsia="Times New Roman" w:cs="Times New Roman"/>
          <w:highlight w:val="yellow"/>
          <w:lang w:eastAsia="fr-FR"/>
        </w:rPr>
      </w:pPr>
      <w:r w:rsidRPr="00B20963">
        <w:rPr>
          <w:rFonts w:eastAsia="Times New Roman" w:cs="Times New Roman"/>
          <w:highlight w:val="yellow"/>
          <w:lang w:eastAsia="fr-FR"/>
        </w:rPr>
        <w:t xml:space="preserve">… </w:t>
      </w:r>
    </w:p>
    <w:p w14:paraId="1ABA33DF" w14:textId="77777777" w:rsidR="00C54800" w:rsidRPr="00C948F8" w:rsidRDefault="00C54800" w:rsidP="00C54800">
      <w:pPr>
        <w:pBdr>
          <w:top w:val="single" w:sz="4" w:space="1" w:color="7030A0"/>
          <w:left w:val="single" w:sz="4" w:space="4" w:color="7030A0"/>
          <w:bottom w:val="single" w:sz="4" w:space="1" w:color="7030A0"/>
          <w:right w:val="single" w:sz="4" w:space="4" w:color="7030A0"/>
        </w:pBdr>
        <w:spacing w:before="280" w:after="280" w:line="240" w:lineRule="auto"/>
        <w:rPr>
          <w:rFonts w:eastAsia="Times New Roman" w:cs="Times New Roman"/>
          <w:color w:val="7030A0"/>
          <w:lang w:eastAsia="fr-FR"/>
        </w:rPr>
      </w:pPr>
      <w:r>
        <w:rPr>
          <w:rFonts w:eastAsia="Times New Roman" w:cs="Times New Roman"/>
          <w:color w:val="7030A0"/>
          <w:lang w:eastAsia="fr-FR"/>
        </w:rPr>
        <w:t xml:space="preserve">Exemple : </w:t>
      </w:r>
      <w:r w:rsidRPr="00C948F8">
        <w:rPr>
          <w:rFonts w:eastAsia="Times New Roman" w:cs="Times New Roman"/>
          <w:color w:val="7030A0"/>
          <w:lang w:eastAsia="fr-FR"/>
        </w:rPr>
        <w:t>Collecte et enrichissement, hébergement, archivage, envoi de courrier et de courriel, réalisation de statistique, consultation des données, transmission des données à une autre application du SI, rapprochement.</w:t>
      </w:r>
    </w:p>
    <w:p w14:paraId="7464A243" w14:textId="77777777" w:rsidR="00C54800" w:rsidRPr="00C948F8" w:rsidRDefault="00C54800" w:rsidP="00C54800">
      <w:pPr>
        <w:spacing w:before="280" w:after="280" w:line="240" w:lineRule="auto"/>
        <w:rPr>
          <w:u w:val="single"/>
        </w:rPr>
      </w:pPr>
      <w:r w:rsidRPr="00C948F8">
        <w:rPr>
          <w:rFonts w:eastAsia="Times New Roman" w:cs="Times New Roman"/>
          <w:u w:val="single"/>
          <w:lang w:eastAsia="fr-FR"/>
        </w:rPr>
        <w:t xml:space="preserve">Finalité(s) pour laquelle (lesquelles) les données à caractère personnel sont traitées pour le compte du responsable du traitement </w:t>
      </w:r>
    </w:p>
    <w:p w14:paraId="53B1E3A4" w14:textId="77777777" w:rsidR="00C54800" w:rsidRDefault="00C54800" w:rsidP="00C54800">
      <w:pPr>
        <w:spacing w:before="280" w:after="280" w:line="240" w:lineRule="auto"/>
        <w:rPr>
          <w:rFonts w:eastAsia="Times New Roman" w:cs="Times New Roman"/>
          <w:highlight w:val="yellow"/>
          <w:lang w:eastAsia="fr-FR"/>
        </w:rPr>
      </w:pPr>
      <w:r w:rsidRPr="00B20963">
        <w:rPr>
          <w:rFonts w:eastAsia="Times New Roman" w:cs="Times New Roman"/>
          <w:highlight w:val="yellow"/>
          <w:lang w:eastAsia="fr-FR"/>
        </w:rPr>
        <w:t xml:space="preserve">… </w:t>
      </w:r>
    </w:p>
    <w:p w14:paraId="6A76FBCB" w14:textId="77777777" w:rsidR="00C54800" w:rsidRPr="00C948F8" w:rsidRDefault="00C54800" w:rsidP="00C54800">
      <w:pPr>
        <w:pBdr>
          <w:top w:val="single" w:sz="4" w:space="1" w:color="7030A0"/>
          <w:left w:val="single" w:sz="4" w:space="4" w:color="7030A0"/>
          <w:bottom w:val="single" w:sz="4" w:space="1" w:color="7030A0"/>
          <w:right w:val="single" w:sz="4" w:space="4" w:color="7030A0"/>
        </w:pBdr>
        <w:spacing w:before="280" w:after="280" w:line="240" w:lineRule="auto"/>
        <w:rPr>
          <w:rFonts w:eastAsia="Times New Roman" w:cs="Times New Roman"/>
          <w:color w:val="7030A0"/>
          <w:lang w:eastAsia="fr-FR"/>
        </w:rPr>
      </w:pPr>
      <w:r w:rsidRPr="00C948F8">
        <w:rPr>
          <w:rFonts w:eastAsia="Times New Roman" w:cs="Times New Roman"/>
          <w:color w:val="7030A0"/>
          <w:lang w:eastAsia="fr-FR"/>
        </w:rPr>
        <w:t>Exemple : Assurer la maintenance du SI, réalisation de formation</w:t>
      </w:r>
      <w:r>
        <w:rPr>
          <w:rFonts w:eastAsia="Times New Roman" w:cs="Times New Roman"/>
          <w:color w:val="7030A0"/>
          <w:lang w:eastAsia="fr-FR"/>
        </w:rPr>
        <w:t>s</w:t>
      </w:r>
      <w:r w:rsidRPr="00C948F8">
        <w:rPr>
          <w:rFonts w:eastAsia="Times New Roman" w:cs="Times New Roman"/>
          <w:color w:val="7030A0"/>
          <w:lang w:eastAsia="fr-FR"/>
        </w:rPr>
        <w:t>, gestion administrative du marché ainsi que toute autre finalité nécessaire à la bonne exécution du marché.</w:t>
      </w:r>
    </w:p>
    <w:p w14:paraId="71A68631" w14:textId="77777777" w:rsidR="00C54800" w:rsidRPr="00C948F8" w:rsidRDefault="00C54800" w:rsidP="00C54800">
      <w:pPr>
        <w:spacing w:before="280" w:after="280" w:line="240" w:lineRule="auto"/>
        <w:rPr>
          <w:u w:val="single"/>
        </w:rPr>
      </w:pPr>
      <w:r w:rsidRPr="00C948F8">
        <w:rPr>
          <w:rFonts w:eastAsia="Times New Roman" w:cs="Times New Roman"/>
          <w:u w:val="single"/>
          <w:lang w:eastAsia="fr-FR"/>
        </w:rPr>
        <w:t xml:space="preserve">Durée du traitement </w:t>
      </w:r>
    </w:p>
    <w:p w14:paraId="1C76F1C6" w14:textId="77777777" w:rsidR="00C54800" w:rsidRPr="005C1EC5" w:rsidRDefault="00C54800" w:rsidP="00C54800">
      <w:pPr>
        <w:spacing w:before="280" w:after="280" w:line="240" w:lineRule="auto"/>
      </w:pPr>
      <w:r w:rsidRPr="002E6062">
        <w:rPr>
          <w:rFonts w:eastAsia="Times New Roman" w:cs="Times New Roman"/>
          <w:lang w:eastAsia="fr-FR"/>
        </w:rPr>
        <w:t>Durée d’exécution de l’accord-cadre.</w:t>
      </w:r>
    </w:p>
    <w:p w14:paraId="1A260908" w14:textId="77777777" w:rsidR="00ED7C1D" w:rsidRDefault="00ED7C1D">
      <w:pPr>
        <w:spacing w:before="280" w:after="280" w:line="240" w:lineRule="auto"/>
        <w:rPr>
          <w:rFonts w:eastAsia="Times New Roman" w:cs="Times New Roman"/>
          <w:highlight w:val="yellow"/>
          <w:lang w:eastAsia="fr-FR"/>
        </w:rPr>
      </w:pPr>
    </w:p>
    <w:p w14:paraId="4035320D" w14:textId="77777777" w:rsidR="00ED7C1D" w:rsidRDefault="00CD10D1">
      <w:pPr>
        <w:spacing w:before="280" w:after="280" w:line="240" w:lineRule="auto"/>
        <w:rPr>
          <w:rFonts w:eastAsia="Times New Roman" w:cs="Times New Roman"/>
          <w:lang w:eastAsia="fr-FR"/>
        </w:rPr>
      </w:pPr>
      <w:r w:rsidRPr="00284BD7">
        <w:rPr>
          <w:rFonts w:eastAsia="Times New Roman" w:cs="Times New Roman"/>
          <w:lang w:eastAsia="fr-FR"/>
        </w:rPr>
        <w:t>Pour le traitement par les sous-traitants (ultérieurs), préciser également l’objet, la nature et la durée du traitement.</w:t>
      </w:r>
      <w:r>
        <w:rPr>
          <w:rFonts w:eastAsia="Times New Roman" w:cs="Times New Roman"/>
          <w:lang w:eastAsia="fr-FR"/>
        </w:rPr>
        <w:t xml:space="preserve"> </w:t>
      </w:r>
    </w:p>
    <w:p w14:paraId="53CDF4C3" w14:textId="77777777" w:rsidR="00ED7C1D" w:rsidRDefault="00CD10D1">
      <w:pPr>
        <w:suppressAutoHyphens w:val="0"/>
        <w:spacing w:after="0" w:line="240" w:lineRule="auto"/>
        <w:rPr>
          <w:rFonts w:ascii="Arial Gras" w:eastAsia="Times New Roman" w:hAnsi="Arial Gras" w:cs="Arial"/>
          <w:b/>
          <w:caps/>
          <w:color w:val="000000" w:themeColor="text1"/>
          <w:sz w:val="28"/>
          <w:szCs w:val="32"/>
          <w:lang w:eastAsia="fr-FR" w:bidi="hi-IN"/>
        </w:rPr>
      </w:pPr>
      <w:r>
        <w:br w:type="page"/>
      </w:r>
    </w:p>
    <w:p w14:paraId="1F33C717" w14:textId="77777777" w:rsidR="00ED7C1D" w:rsidRDefault="00CD10D1">
      <w:pPr>
        <w:pStyle w:val="Titre1"/>
        <w:spacing w:before="0"/>
      </w:pPr>
      <w:bookmarkStart w:id="43" w:name="_Toc114150827"/>
      <w:bookmarkStart w:id="44" w:name="_Toc178606579"/>
      <w:r>
        <w:rPr>
          <w:lang w:eastAsia="fr-FR"/>
        </w:rPr>
        <w:lastRenderedPageBreak/>
        <w:t>ANNEXE 3 - Mesures techniques et organisationnelles</w:t>
      </w:r>
      <w:bookmarkEnd w:id="43"/>
      <w:bookmarkEnd w:id="44"/>
    </w:p>
    <w:p w14:paraId="20698690" w14:textId="77777777" w:rsidR="00ED7C1D" w:rsidRDefault="00CD10D1">
      <w:pPr>
        <w:spacing w:before="280" w:after="280" w:line="240" w:lineRule="auto"/>
        <w:rPr>
          <w:rFonts w:eastAsia="Times New Roman" w:cs="Times New Roman"/>
          <w:lang w:eastAsia="fr-FR"/>
        </w:rPr>
      </w:pPr>
      <w:r>
        <w:rPr>
          <w:rFonts w:eastAsia="Times New Roman" w:cs="Times New Roman"/>
          <w:lang w:eastAsia="fr-FR"/>
        </w:rPr>
        <w:t xml:space="preserve">Cette annexe doit être complété par le candidat et fait l’objet d’un document séparé. </w:t>
      </w:r>
    </w:p>
    <w:p w14:paraId="0B5C078D" w14:textId="77777777" w:rsidR="00ED7C1D" w:rsidRDefault="00ED7C1D">
      <w:pPr>
        <w:spacing w:before="280" w:after="280" w:line="240" w:lineRule="auto"/>
        <w:rPr>
          <w:rFonts w:eastAsia="Times New Roman" w:cs="Times New Roman"/>
          <w:lang w:eastAsia="fr-FR"/>
        </w:rPr>
      </w:pPr>
    </w:p>
    <w:p w14:paraId="649A5967" w14:textId="77777777" w:rsidR="00ED7C1D" w:rsidRDefault="00CD10D1">
      <w:pPr>
        <w:suppressAutoHyphens w:val="0"/>
        <w:spacing w:after="0" w:line="240" w:lineRule="auto"/>
        <w:rPr>
          <w:rFonts w:ascii="Arial Gras" w:eastAsia="Times New Roman" w:hAnsi="Arial Gras" w:cs="Arial"/>
          <w:b/>
          <w:caps/>
          <w:color w:val="000000" w:themeColor="text1"/>
          <w:sz w:val="28"/>
          <w:szCs w:val="32"/>
          <w:lang w:eastAsia="fr-FR" w:bidi="hi-IN"/>
        </w:rPr>
      </w:pPr>
      <w:r>
        <w:br w:type="page"/>
      </w:r>
    </w:p>
    <w:p w14:paraId="1064B291" w14:textId="77777777" w:rsidR="00ED7C1D" w:rsidRDefault="00CD10D1">
      <w:pPr>
        <w:pStyle w:val="Titre1"/>
        <w:spacing w:before="0"/>
      </w:pPr>
      <w:bookmarkStart w:id="45" w:name="_Toc111543465"/>
      <w:bookmarkStart w:id="46" w:name="_Toc178606580"/>
      <w:r>
        <w:rPr>
          <w:lang w:eastAsia="fr-FR"/>
        </w:rPr>
        <w:lastRenderedPageBreak/>
        <w:t>ANNEXE </w:t>
      </w:r>
      <w:bookmarkStart w:id="47" w:name="_Toc111543466"/>
      <w:bookmarkEnd w:id="45"/>
      <w:r>
        <w:rPr>
          <w:lang w:eastAsia="fr-FR"/>
        </w:rPr>
        <w:t>4</w:t>
      </w:r>
      <w:r>
        <w:t xml:space="preserve"> - </w:t>
      </w:r>
      <w:r>
        <w:rPr>
          <w:lang w:eastAsia="fr-FR"/>
        </w:rPr>
        <w:t>Liste de sous-traitants ultérieurs</w:t>
      </w:r>
      <w:bookmarkEnd w:id="46"/>
      <w:bookmarkEnd w:id="47"/>
    </w:p>
    <w:p w14:paraId="0223189B" w14:textId="77777777" w:rsidR="00ED7C1D" w:rsidRDefault="00CD10D1">
      <w:pPr>
        <w:rPr>
          <w:lang w:eastAsia="fr-FR"/>
        </w:rPr>
      </w:pPr>
      <w:r>
        <w:rPr>
          <w:lang w:eastAsia="fr-FR"/>
        </w:rPr>
        <w:t>La présente annexe doit être complétée en cas d’autorisation spécifique de sous-traitants ultérieurs.</w:t>
      </w:r>
    </w:p>
    <w:p w14:paraId="1773A111" w14:textId="77777777" w:rsidR="00ED7C1D" w:rsidRDefault="00CD10D1">
      <w:pPr>
        <w:rPr>
          <w:lang w:eastAsia="fr-FR"/>
        </w:rPr>
      </w:pPr>
      <w:r>
        <w:rPr>
          <w:lang w:eastAsia="fr-FR"/>
        </w:rPr>
        <w:t>Le responsable du traitement a autorisé le recours aux sous-traitants ultérieurs suivants:</w:t>
      </w:r>
    </w:p>
    <w:tbl>
      <w:tblPr>
        <w:tblStyle w:val="Grilledutableau"/>
        <w:tblW w:w="9062" w:type="dxa"/>
        <w:tblLayout w:type="fixed"/>
        <w:tblLook w:val="04A0" w:firstRow="1" w:lastRow="0" w:firstColumn="1" w:lastColumn="0" w:noHBand="0" w:noVBand="1"/>
      </w:tblPr>
      <w:tblGrid>
        <w:gridCol w:w="1412"/>
        <w:gridCol w:w="7650"/>
      </w:tblGrid>
      <w:tr w:rsidR="00ED7C1D" w14:paraId="6305856C" w14:textId="77777777">
        <w:trPr>
          <w:trHeight w:val="1835"/>
        </w:trPr>
        <w:tc>
          <w:tcPr>
            <w:tcW w:w="1412" w:type="dxa"/>
            <w:shd w:val="clear" w:color="auto" w:fill="DEEAF6" w:themeFill="accent1" w:themeFillTint="33"/>
            <w:vAlign w:val="center"/>
          </w:tcPr>
          <w:p w14:paraId="49F6C9D7" w14:textId="77777777" w:rsidR="00ED7C1D" w:rsidRDefault="00CD10D1">
            <w:pPr>
              <w:spacing w:after="0" w:line="240" w:lineRule="auto"/>
              <w:jc w:val="center"/>
              <w:rPr>
                <w:b/>
              </w:rPr>
            </w:pPr>
            <w:r>
              <w:rPr>
                <w:b/>
              </w:rPr>
              <w:t>Sous-traitant ultérieur n°1</w:t>
            </w:r>
          </w:p>
        </w:tc>
        <w:tc>
          <w:tcPr>
            <w:tcW w:w="7649" w:type="dxa"/>
            <w:vAlign w:val="center"/>
          </w:tcPr>
          <w:p w14:paraId="1BAA2495" w14:textId="77777777" w:rsidR="00ED7C1D" w:rsidRDefault="00CD10D1">
            <w:pPr>
              <w:spacing w:before="80" w:after="80" w:line="240" w:lineRule="auto"/>
            </w:pPr>
            <w:r>
              <w:t xml:space="preserve">Nom : </w:t>
            </w:r>
          </w:p>
          <w:p w14:paraId="694A3C0C" w14:textId="77777777" w:rsidR="00ED7C1D" w:rsidRDefault="00CD10D1">
            <w:pPr>
              <w:spacing w:before="80" w:after="80" w:line="240" w:lineRule="auto"/>
            </w:pPr>
            <w:r>
              <w:t xml:space="preserve">Adresse : </w:t>
            </w:r>
          </w:p>
          <w:p w14:paraId="5FEE82FB" w14:textId="77777777" w:rsidR="00ED7C1D" w:rsidRDefault="00CD10D1">
            <w:pPr>
              <w:spacing w:before="80" w:after="80" w:line="240" w:lineRule="auto"/>
            </w:pPr>
            <w:r>
              <w:t>Nom, fonction et coordonnées de la personne de contact:</w:t>
            </w:r>
          </w:p>
          <w:p w14:paraId="5C23C33B" w14:textId="77777777" w:rsidR="00ED7C1D" w:rsidRDefault="00CD10D1">
            <w:pPr>
              <w:spacing w:before="80" w:after="80" w:line="240" w:lineRule="auto"/>
            </w:pPr>
            <w:r>
              <w:t xml:space="preserve">Description du traitement : </w:t>
            </w:r>
          </w:p>
        </w:tc>
      </w:tr>
      <w:tr w:rsidR="00ED7C1D" w14:paraId="255FB137" w14:textId="77777777">
        <w:trPr>
          <w:trHeight w:val="1976"/>
        </w:trPr>
        <w:tc>
          <w:tcPr>
            <w:tcW w:w="1412" w:type="dxa"/>
            <w:shd w:val="clear" w:color="auto" w:fill="DEEAF6" w:themeFill="accent1" w:themeFillTint="33"/>
            <w:vAlign w:val="center"/>
          </w:tcPr>
          <w:p w14:paraId="65DC7C04" w14:textId="77777777" w:rsidR="00ED7C1D" w:rsidRDefault="00CD10D1">
            <w:pPr>
              <w:spacing w:after="0" w:line="240" w:lineRule="auto"/>
              <w:jc w:val="center"/>
              <w:rPr>
                <w:b/>
              </w:rPr>
            </w:pPr>
            <w:r>
              <w:rPr>
                <w:b/>
              </w:rPr>
              <w:t>Sous-traitant ultérieur n°2</w:t>
            </w:r>
          </w:p>
        </w:tc>
        <w:tc>
          <w:tcPr>
            <w:tcW w:w="7649" w:type="dxa"/>
            <w:vAlign w:val="center"/>
          </w:tcPr>
          <w:p w14:paraId="568E81FD" w14:textId="77777777" w:rsidR="00ED7C1D" w:rsidRDefault="00CD10D1">
            <w:pPr>
              <w:spacing w:before="80" w:after="80" w:line="240" w:lineRule="auto"/>
            </w:pPr>
            <w:r>
              <w:t xml:space="preserve">Nom : </w:t>
            </w:r>
          </w:p>
          <w:p w14:paraId="341DAD43" w14:textId="77777777" w:rsidR="00ED7C1D" w:rsidRDefault="00CD10D1">
            <w:pPr>
              <w:spacing w:before="80" w:after="80" w:line="240" w:lineRule="auto"/>
            </w:pPr>
            <w:r>
              <w:t xml:space="preserve">Adresse : </w:t>
            </w:r>
          </w:p>
          <w:p w14:paraId="718CC1D2" w14:textId="77777777" w:rsidR="00ED7C1D" w:rsidRDefault="00CD10D1">
            <w:pPr>
              <w:spacing w:before="80" w:after="80" w:line="240" w:lineRule="auto"/>
            </w:pPr>
            <w:r>
              <w:t>Nom, fonction et coordonnées de la personne de contact:</w:t>
            </w:r>
          </w:p>
          <w:p w14:paraId="3FF4975D" w14:textId="77777777" w:rsidR="00ED7C1D" w:rsidRDefault="00CD10D1">
            <w:pPr>
              <w:spacing w:before="80" w:after="80" w:line="240" w:lineRule="auto"/>
            </w:pPr>
            <w:r>
              <w:t>Description du traitement :</w:t>
            </w:r>
          </w:p>
        </w:tc>
      </w:tr>
      <w:tr w:rsidR="00ED7C1D" w14:paraId="54AA35D2" w14:textId="77777777">
        <w:trPr>
          <w:trHeight w:val="1975"/>
        </w:trPr>
        <w:tc>
          <w:tcPr>
            <w:tcW w:w="1412" w:type="dxa"/>
            <w:shd w:val="clear" w:color="auto" w:fill="DEEAF6" w:themeFill="accent1" w:themeFillTint="33"/>
            <w:vAlign w:val="center"/>
          </w:tcPr>
          <w:p w14:paraId="631E4A11" w14:textId="77777777" w:rsidR="00ED7C1D" w:rsidRDefault="00CD10D1">
            <w:pPr>
              <w:spacing w:after="0" w:line="240" w:lineRule="auto"/>
              <w:jc w:val="center"/>
              <w:rPr>
                <w:b/>
              </w:rPr>
            </w:pPr>
            <w:r>
              <w:rPr>
                <w:b/>
              </w:rPr>
              <w:t>Sous-traitant ultérieur n°3</w:t>
            </w:r>
          </w:p>
        </w:tc>
        <w:tc>
          <w:tcPr>
            <w:tcW w:w="7649" w:type="dxa"/>
            <w:vAlign w:val="center"/>
          </w:tcPr>
          <w:p w14:paraId="1C0C6C22" w14:textId="77777777" w:rsidR="00ED7C1D" w:rsidRDefault="00CD10D1">
            <w:pPr>
              <w:spacing w:before="80" w:after="80" w:line="240" w:lineRule="auto"/>
            </w:pPr>
            <w:r>
              <w:t xml:space="preserve">Nom : </w:t>
            </w:r>
          </w:p>
          <w:p w14:paraId="239D14CB" w14:textId="77777777" w:rsidR="00ED7C1D" w:rsidRDefault="00CD10D1">
            <w:pPr>
              <w:spacing w:before="80" w:after="80" w:line="240" w:lineRule="auto"/>
            </w:pPr>
            <w:r>
              <w:t xml:space="preserve">Adresse : </w:t>
            </w:r>
          </w:p>
          <w:p w14:paraId="5C336B50" w14:textId="77777777" w:rsidR="00ED7C1D" w:rsidRDefault="00CD10D1">
            <w:pPr>
              <w:spacing w:before="80" w:after="80" w:line="240" w:lineRule="auto"/>
            </w:pPr>
            <w:r>
              <w:t>Nom, fonction et coordonnées de la personne de contact:</w:t>
            </w:r>
          </w:p>
          <w:p w14:paraId="3BA8C56A" w14:textId="77777777" w:rsidR="00ED7C1D" w:rsidRDefault="00CD10D1">
            <w:pPr>
              <w:spacing w:before="80" w:after="80" w:line="240" w:lineRule="auto"/>
            </w:pPr>
            <w:r>
              <w:t>Description du traitement :</w:t>
            </w:r>
          </w:p>
        </w:tc>
      </w:tr>
    </w:tbl>
    <w:p w14:paraId="20DF899D" w14:textId="77777777" w:rsidR="00ED7C1D" w:rsidRDefault="00ED7C1D"/>
    <w:sectPr w:rsidR="00ED7C1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20" w:footer="720" w:gutter="0"/>
      <w:cols w:space="720"/>
      <w:formProt w:val="0"/>
      <w:docGrid w:linePitch="312" w:charSpace="-204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1" w:author="LE FAUCHEUR Clara" w:date="2025-12-08T16:50:00Z" w:initials="LFC">
    <w:p w14:paraId="3F83FE87" w14:textId="5D9040E4" w:rsidR="00C54800" w:rsidRDefault="00C54800">
      <w:pPr>
        <w:pStyle w:val="Commentaire"/>
      </w:pPr>
      <w:r>
        <w:rPr>
          <w:rStyle w:val="Marquedecommentaire"/>
        </w:rPr>
        <w:annotationRef/>
      </w:r>
      <w:r w:rsidR="00D10902">
        <w:t>Veuillez compléter les parties indiquées en jaune, en vous aidant des exemples affichés en violet.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83FE8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F2555" w14:textId="77777777" w:rsidR="00847D7D" w:rsidRDefault="00CD10D1">
      <w:pPr>
        <w:spacing w:after="0" w:line="240" w:lineRule="auto"/>
      </w:pPr>
      <w:r>
        <w:separator/>
      </w:r>
    </w:p>
  </w:endnote>
  <w:endnote w:type="continuationSeparator" w:id="0">
    <w:p w14:paraId="3C58CA45" w14:textId="77777777" w:rsidR="00847D7D" w:rsidRDefault="00CD1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pitch w:val="variable"/>
  </w:font>
  <w:font w:name="OpenSymbol">
    <w:altName w:val="Arial Unicode MS"/>
    <w:panose1 w:val="05010000000000000000"/>
    <w:charset w:val="00"/>
    <w:family w:val="auto"/>
    <w:pitch w:val="variable"/>
    <w:sig w:usb0="800000AF" w:usb1="1001ECEA" w:usb2="00000000" w:usb3="00000000" w:csb0="8000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Liberation Sans">
    <w:altName w:val="Arial"/>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A1FCF" w14:textId="77777777" w:rsidR="00ED7C1D" w:rsidRDefault="00ED7C1D">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27C07" w14:textId="77777777" w:rsidR="00ED7C1D" w:rsidRDefault="00ED7C1D">
    <w:pPr>
      <w:pStyle w:val="Pieddepag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88C5C" w14:textId="77777777" w:rsidR="00ED7C1D" w:rsidRDefault="00ED7C1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47C7E" w14:textId="12ACDD3B" w:rsidR="00ED7C1D" w:rsidRDefault="00CD10D1">
    <w:pPr>
      <w:pStyle w:val="Pieddepage"/>
      <w:jc w:val="right"/>
    </w:pPr>
    <w:r>
      <w:t>Annexe III CCAP</w:t>
    </w:r>
    <w:r>
      <w:tab/>
      <w:t xml:space="preserve">AOO </w:t>
    </w:r>
    <w:r w:rsidR="00A227A1">
      <w:t>Pilotage et Mises en hébergement</w:t>
    </w:r>
    <w:r>
      <w:tab/>
    </w:r>
    <w:r>
      <w:fldChar w:fldCharType="begin"/>
    </w:r>
    <w:r>
      <w:instrText xml:space="preserve"> PAGE </w:instrText>
    </w:r>
    <w:r>
      <w:fldChar w:fldCharType="separate"/>
    </w:r>
    <w:r w:rsidR="00D10902">
      <w:rPr>
        <w:noProof/>
      </w:rPr>
      <w:t>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CE6CB" w14:textId="77777777" w:rsidR="00ED7C1D" w:rsidRDefault="00CD10D1">
    <w:pPr>
      <w:pStyle w:val="Pieddepage"/>
      <w:jc w:val="right"/>
    </w:pPr>
    <w:r>
      <w:t>Annexe III CCAP</w:t>
    </w:r>
    <w:r>
      <w:tab/>
      <w:t>AOO Diffusion TV</w:t>
    </w:r>
    <w:r>
      <w:tab/>
    </w:r>
    <w:r>
      <w:fldChar w:fldCharType="begin"/>
    </w:r>
    <w:r>
      <w:instrText xml:space="preserve"> PAGE </w:instrText>
    </w:r>
    <w:r>
      <w:fldChar w:fldCharType="separate"/>
    </w:r>
    <w: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165DB" w14:textId="77777777" w:rsidR="00847D7D" w:rsidRDefault="00CD10D1">
      <w:pPr>
        <w:spacing w:after="0" w:line="240" w:lineRule="auto"/>
      </w:pPr>
      <w:r>
        <w:separator/>
      </w:r>
    </w:p>
  </w:footnote>
  <w:footnote w:type="continuationSeparator" w:id="0">
    <w:p w14:paraId="22322972" w14:textId="77777777" w:rsidR="00847D7D" w:rsidRDefault="00CD10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51C56" w14:textId="77777777" w:rsidR="00ED7C1D" w:rsidRDefault="00CD10D1">
    <w:pPr>
      <w:pStyle w:val="En-tte"/>
    </w:pPr>
    <w:r>
      <w:rPr>
        <w:noProof/>
        <w:lang w:eastAsia="fr-FR"/>
      </w:rPr>
      <w:drawing>
        <wp:anchor distT="0" distB="9525" distL="114300" distR="114300" simplePos="0" relativeHeight="251656192" behindDoc="1" locked="0" layoutInCell="0" allowOverlap="1" wp14:anchorId="582DFC03" wp14:editId="7729D182">
          <wp:simplePos x="0" y="0"/>
          <wp:positionH relativeFrom="column">
            <wp:posOffset>5004435</wp:posOffset>
          </wp:positionH>
          <wp:positionV relativeFrom="page">
            <wp:posOffset>334645</wp:posOffset>
          </wp:positionV>
          <wp:extent cx="759460" cy="614680"/>
          <wp:effectExtent l="0" t="0" r="0" b="0"/>
          <wp:wrapSquare wrapText="bothSides"/>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rcRect l="-181" t="-230" r="-181" b="-230"/>
                  <a:stretch>
                    <a:fillRect/>
                  </a:stretch>
                </pic:blipFill>
                <pic:spPr bwMode="auto">
                  <a:xfrm>
                    <a:off x="0" y="0"/>
                    <a:ext cx="759460" cy="614680"/>
                  </a:xfrm>
                  <a:prstGeom prst="rect">
                    <a:avLst/>
                  </a:prstGeom>
                </pic:spPr>
              </pic:pic>
            </a:graphicData>
          </a:graphic>
        </wp:anchor>
      </w:drawing>
    </w:r>
    <w:r>
      <w:rPr>
        <w:noProof/>
        <w:lang w:eastAsia="fr-FR"/>
      </w:rPr>
      <w:drawing>
        <wp:inline distT="0" distB="0" distL="0" distR="0" wp14:anchorId="1A5760F0" wp14:editId="252EA2A4">
          <wp:extent cx="923925" cy="669290"/>
          <wp:effectExtent l="0" t="0" r="0"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2"/>
                  <a:stretch>
                    <a:fillRect/>
                  </a:stretch>
                </pic:blipFill>
                <pic:spPr bwMode="auto">
                  <a:xfrm>
                    <a:off x="0" y="0"/>
                    <a:ext cx="923925" cy="669290"/>
                  </a:xfrm>
                  <a:prstGeom prst="rect">
                    <a:avLst/>
                  </a:prstGeom>
                </pic:spPr>
              </pic:pic>
            </a:graphicData>
          </a:graphic>
        </wp:inline>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A72C" w14:textId="77777777" w:rsidR="00ED7C1D" w:rsidRDefault="00CD10D1">
    <w:pPr>
      <w:pStyle w:val="En-tte"/>
    </w:pPr>
    <w:r>
      <w:rPr>
        <w:noProof/>
        <w:lang w:eastAsia="fr-FR"/>
      </w:rPr>
      <w:drawing>
        <wp:anchor distT="0" distB="9525" distL="114300" distR="114300" simplePos="0" relativeHeight="251657216" behindDoc="1" locked="0" layoutInCell="0" allowOverlap="1" wp14:anchorId="0922440D" wp14:editId="02994B5E">
          <wp:simplePos x="0" y="0"/>
          <wp:positionH relativeFrom="column">
            <wp:posOffset>5004435</wp:posOffset>
          </wp:positionH>
          <wp:positionV relativeFrom="page">
            <wp:posOffset>334645</wp:posOffset>
          </wp:positionV>
          <wp:extent cx="759460" cy="614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noChangeArrowheads="1"/>
                  </pic:cNvPicPr>
                </pic:nvPicPr>
                <pic:blipFill>
                  <a:blip r:embed="rId1"/>
                  <a:srcRect l="-181" t="-230" r="-181" b="-230"/>
                  <a:stretch>
                    <a:fillRect/>
                  </a:stretch>
                </pic:blipFill>
                <pic:spPr bwMode="auto">
                  <a:xfrm>
                    <a:off x="0" y="0"/>
                    <a:ext cx="759460" cy="614680"/>
                  </a:xfrm>
                  <a:prstGeom prst="rect">
                    <a:avLst/>
                  </a:prstGeom>
                </pic:spPr>
              </pic:pic>
            </a:graphicData>
          </a:graphic>
        </wp:anchor>
      </w:drawing>
    </w:r>
    <w:r>
      <w:rPr>
        <w:noProof/>
        <w:lang w:eastAsia="fr-FR"/>
      </w:rPr>
      <w:drawing>
        <wp:inline distT="0" distB="0" distL="0" distR="0" wp14:anchorId="4DED01CE" wp14:editId="186B1F92">
          <wp:extent cx="923925" cy="66929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7"/>
                  <pic:cNvPicPr>
                    <a:picLocks noChangeAspect="1" noChangeArrowheads="1"/>
                  </pic:cNvPicPr>
                </pic:nvPicPr>
                <pic:blipFill>
                  <a:blip r:embed="rId2"/>
                  <a:stretch>
                    <a:fillRect/>
                  </a:stretch>
                </pic:blipFill>
                <pic:spPr bwMode="auto">
                  <a:xfrm>
                    <a:off x="0" y="0"/>
                    <a:ext cx="923925" cy="669290"/>
                  </a:xfrm>
                  <a:prstGeom prst="rect">
                    <a:avLst/>
                  </a:prstGeom>
                </pic:spPr>
              </pic:pic>
            </a:graphicData>
          </a:graphic>
        </wp:inline>
      </w:drawing>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ECDAE" w14:textId="77777777" w:rsidR="00ED7C1D" w:rsidRDefault="00ED7C1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3195" w14:textId="77777777" w:rsidR="00ED7C1D" w:rsidRDefault="00CD10D1">
    <w:pPr>
      <w:pStyle w:val="En-tte"/>
    </w:pPr>
    <w:r>
      <w:rPr>
        <w:noProof/>
        <w:lang w:eastAsia="fr-FR"/>
      </w:rPr>
      <w:drawing>
        <wp:anchor distT="0" distB="9525" distL="114300" distR="114300" simplePos="0" relativeHeight="251658240" behindDoc="1" locked="0" layoutInCell="0" allowOverlap="1" wp14:anchorId="60A6E573" wp14:editId="7DBD5C91">
          <wp:simplePos x="0" y="0"/>
          <wp:positionH relativeFrom="column">
            <wp:posOffset>5004435</wp:posOffset>
          </wp:positionH>
          <wp:positionV relativeFrom="page">
            <wp:posOffset>334645</wp:posOffset>
          </wp:positionV>
          <wp:extent cx="759460" cy="614680"/>
          <wp:effectExtent l="0" t="0" r="0" b="0"/>
          <wp:wrapSquare wrapText="bothSides"/>
          <wp:docPr id="5" name="Image 3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3 Copie 1"/>
                  <pic:cNvPicPr>
                    <a:picLocks noChangeAspect="1" noChangeArrowheads="1"/>
                  </pic:cNvPicPr>
                </pic:nvPicPr>
                <pic:blipFill>
                  <a:blip r:embed="rId1"/>
                  <a:srcRect l="-181" t="-230" r="-181" b="-230"/>
                  <a:stretch>
                    <a:fillRect/>
                  </a:stretch>
                </pic:blipFill>
                <pic:spPr bwMode="auto">
                  <a:xfrm>
                    <a:off x="0" y="0"/>
                    <a:ext cx="759460" cy="614680"/>
                  </a:xfrm>
                  <a:prstGeom prst="rect">
                    <a:avLst/>
                  </a:prstGeom>
                </pic:spPr>
              </pic:pic>
            </a:graphicData>
          </a:graphic>
        </wp:anchor>
      </w:drawing>
    </w:r>
    <w:r>
      <w:rPr>
        <w:noProof/>
        <w:lang w:eastAsia="fr-FR"/>
      </w:rPr>
      <w:drawing>
        <wp:inline distT="0" distB="0" distL="0" distR="0" wp14:anchorId="6495272D" wp14:editId="490CD6F8">
          <wp:extent cx="923925" cy="669290"/>
          <wp:effectExtent l="0" t="0" r="0" b="0"/>
          <wp:docPr id="6" name="Image 7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7 Copie 1"/>
                  <pic:cNvPicPr>
                    <a:picLocks noChangeAspect="1" noChangeArrowheads="1"/>
                  </pic:cNvPicPr>
                </pic:nvPicPr>
                <pic:blipFill>
                  <a:blip r:embed="rId2"/>
                  <a:stretch>
                    <a:fillRect/>
                  </a:stretch>
                </pic:blipFill>
                <pic:spPr bwMode="auto">
                  <a:xfrm>
                    <a:off x="0" y="0"/>
                    <a:ext cx="923925" cy="669290"/>
                  </a:xfrm>
                  <a:prstGeom prst="rect">
                    <a:avLst/>
                  </a:prstGeom>
                </pic:spPr>
              </pic:pic>
            </a:graphicData>
          </a:graphic>
        </wp:inline>
      </w:drawing>
    </w:r>
    <w:r>
      <w:tab/>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039F3" w14:textId="77777777" w:rsidR="00ED7C1D" w:rsidRDefault="00CD10D1">
    <w:pPr>
      <w:pStyle w:val="En-tte"/>
    </w:pPr>
    <w:r>
      <w:rPr>
        <w:noProof/>
        <w:lang w:eastAsia="fr-FR"/>
      </w:rPr>
      <w:drawing>
        <wp:anchor distT="0" distB="9525" distL="114300" distR="114300" simplePos="0" relativeHeight="251659264" behindDoc="1" locked="0" layoutInCell="0" allowOverlap="1" wp14:anchorId="0C9FB7F9" wp14:editId="666170B2">
          <wp:simplePos x="0" y="0"/>
          <wp:positionH relativeFrom="column">
            <wp:posOffset>5004435</wp:posOffset>
          </wp:positionH>
          <wp:positionV relativeFrom="page">
            <wp:posOffset>334645</wp:posOffset>
          </wp:positionV>
          <wp:extent cx="759460" cy="614680"/>
          <wp:effectExtent l="0" t="0" r="0" b="0"/>
          <wp:wrapSquare wrapText="bothSides"/>
          <wp:docPr id="7" name="Image 3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3 Copie 1"/>
                  <pic:cNvPicPr>
                    <a:picLocks noChangeAspect="1" noChangeArrowheads="1"/>
                  </pic:cNvPicPr>
                </pic:nvPicPr>
                <pic:blipFill>
                  <a:blip r:embed="rId1"/>
                  <a:srcRect l="-181" t="-230" r="-181" b="-230"/>
                  <a:stretch>
                    <a:fillRect/>
                  </a:stretch>
                </pic:blipFill>
                <pic:spPr bwMode="auto">
                  <a:xfrm>
                    <a:off x="0" y="0"/>
                    <a:ext cx="759460" cy="614680"/>
                  </a:xfrm>
                  <a:prstGeom prst="rect">
                    <a:avLst/>
                  </a:prstGeom>
                </pic:spPr>
              </pic:pic>
            </a:graphicData>
          </a:graphic>
        </wp:anchor>
      </w:drawing>
    </w:r>
    <w:r>
      <w:rPr>
        <w:noProof/>
        <w:lang w:eastAsia="fr-FR"/>
      </w:rPr>
      <w:drawing>
        <wp:inline distT="0" distB="0" distL="0" distR="0" wp14:anchorId="432D4111" wp14:editId="3A26124D">
          <wp:extent cx="923925" cy="669290"/>
          <wp:effectExtent l="0" t="0" r="0" b="0"/>
          <wp:docPr id="8" name="Image 7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Copie 1"/>
                  <pic:cNvPicPr>
                    <a:picLocks noChangeAspect="1" noChangeArrowheads="1"/>
                  </pic:cNvPicPr>
                </pic:nvPicPr>
                <pic:blipFill>
                  <a:blip r:embed="rId2"/>
                  <a:stretch>
                    <a:fillRect/>
                  </a:stretch>
                </pic:blipFill>
                <pic:spPr bwMode="auto">
                  <a:xfrm>
                    <a:off x="0" y="0"/>
                    <a:ext cx="923925" cy="669290"/>
                  </a:xfrm>
                  <a:prstGeom prst="rect">
                    <a:avLst/>
                  </a:prstGeom>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D05F9"/>
    <w:multiLevelType w:val="multilevel"/>
    <w:tmpl w:val="B83AF7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77937E3"/>
    <w:multiLevelType w:val="multilevel"/>
    <w:tmpl w:val="7EE4686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BEB392B"/>
    <w:multiLevelType w:val="multilevel"/>
    <w:tmpl w:val="F1C23992"/>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1F54F72"/>
    <w:multiLevelType w:val="multilevel"/>
    <w:tmpl w:val="FB4C5CC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47B0C1E"/>
    <w:multiLevelType w:val="multilevel"/>
    <w:tmpl w:val="07E680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9C35A0"/>
    <w:multiLevelType w:val="multilevel"/>
    <w:tmpl w:val="CE202E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16A763D"/>
    <w:multiLevelType w:val="multilevel"/>
    <w:tmpl w:val="BDC600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1961360"/>
    <w:multiLevelType w:val="multilevel"/>
    <w:tmpl w:val="D6BA28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36E3C70"/>
    <w:multiLevelType w:val="multilevel"/>
    <w:tmpl w:val="C7C0894A"/>
    <w:lvl w:ilvl="0">
      <w:start w:val="1"/>
      <w:numFmt w:val="decimal"/>
      <w:lvlText w:val="%1."/>
      <w:lvlJc w:val="left"/>
      <w:pPr>
        <w:tabs>
          <w:tab w:val="num" w:pos="0"/>
        </w:tabs>
        <w:ind w:left="0" w:firstLine="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E946140"/>
    <w:multiLevelType w:val="multilevel"/>
    <w:tmpl w:val="31584E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0"/>
  </w:num>
  <w:num w:numId="3">
    <w:abstractNumId w:val="1"/>
  </w:num>
  <w:num w:numId="4">
    <w:abstractNumId w:val="9"/>
  </w:num>
  <w:num w:numId="5">
    <w:abstractNumId w:val="7"/>
  </w:num>
  <w:num w:numId="6">
    <w:abstractNumId w:val="5"/>
  </w:num>
  <w:num w:numId="7">
    <w:abstractNumId w:val="3"/>
  </w:num>
  <w:num w:numId="8">
    <w:abstractNumId w:val="6"/>
  </w:num>
  <w:num w:numId="9">
    <w:abstractNumId w:val="8"/>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 FAUCHEUR Clara">
    <w15:presenceInfo w15:providerId="None" w15:userId="LE FAUCHEUR Cla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C1D"/>
    <w:rsid w:val="00284BD7"/>
    <w:rsid w:val="004F14C5"/>
    <w:rsid w:val="00666E79"/>
    <w:rsid w:val="00847D7D"/>
    <w:rsid w:val="00A227A1"/>
    <w:rsid w:val="00C54800"/>
    <w:rsid w:val="00CD10D1"/>
    <w:rsid w:val="00D10902"/>
    <w:rsid w:val="00ED7C1D"/>
    <w:rsid w:val="00F8119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F40B6"/>
  <w15:docId w15:val="{F63E5C36-CD98-415D-957D-7E0525F81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5C7"/>
    <w:pPr>
      <w:spacing w:after="160" w:line="252" w:lineRule="auto"/>
      <w:jc w:val="both"/>
    </w:pPr>
    <w:rPr>
      <w:rFonts w:ascii="Arial" w:eastAsia="Calibri" w:hAnsi="Arial"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3B14A7"/>
    <w:pPr>
      <w:keepNext/>
      <w:spacing w:before="240" w:after="240" w:line="240" w:lineRule="auto"/>
      <w:ind w:firstLine="709"/>
      <w:outlineLvl w:val="2"/>
    </w:pPr>
    <w:rPr>
      <w:rFonts w:eastAsia="Times New Roman"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Times New Roman" w:hAnsi="Symbol" w:cs="OpenSymbol"/>
      <w:sz w:val="20"/>
      <w:szCs w:val="24"/>
      <w:lang w:eastAsia="fr-FR"/>
    </w:rPr>
  </w:style>
  <w:style w:type="character" w:customStyle="1" w:styleId="WW8Num2z1">
    <w:name w:val="WW8Num2z1"/>
    <w:qFormat/>
    <w:rPr>
      <w:rFonts w:ascii="OpenSymbol" w:hAnsi="OpenSymbol" w:cs="OpenSymbol"/>
    </w:rPr>
  </w:style>
  <w:style w:type="character" w:customStyle="1" w:styleId="WW8Num3z0">
    <w:name w:val="WW8Num3z0"/>
    <w:qFormat/>
    <w:rPr>
      <w:rFonts w:ascii="Times New Roman" w:hAnsi="Times New Roman" w:cs="Times New Roman"/>
      <w:sz w:val="24"/>
      <w:szCs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Policepardfaut3">
    <w:name w:val="Police par défaut3"/>
    <w:qFormat/>
  </w:style>
  <w:style w:type="character" w:customStyle="1" w:styleId="Policepardfaut2">
    <w:name w:val="Police par défaut2"/>
    <w:qFormat/>
  </w:style>
  <w:style w:type="character" w:customStyle="1" w:styleId="Policepardfaut1">
    <w:name w:val="Police par défaut1"/>
    <w:qFormat/>
  </w:style>
  <w:style w:type="character" w:customStyle="1" w:styleId="InternetLink">
    <w:name w:val="Internet Link"/>
    <w:uiPriority w:val="99"/>
    <w:qFormat/>
    <w:rPr>
      <w:color w:val="0000FF"/>
      <w:u w:val="single"/>
    </w:rPr>
  </w:style>
  <w:style w:type="character" w:customStyle="1" w:styleId="oj-super">
    <w:name w:val="oj-super"/>
    <w:qFormat/>
  </w:style>
  <w:style w:type="character" w:customStyle="1" w:styleId="oj-italic">
    <w:name w:val="oj-italic"/>
    <w:qFormat/>
  </w:style>
  <w:style w:type="character" w:customStyle="1" w:styleId="oj-bold">
    <w:name w:val="oj-bold"/>
    <w:qFormat/>
  </w:style>
  <w:style w:type="character" w:customStyle="1" w:styleId="Marquedecommentaire1">
    <w:name w:val="Marque de commentaire1"/>
    <w:qFormat/>
    <w:rPr>
      <w:sz w:val="16"/>
      <w:szCs w:val="16"/>
    </w:rPr>
  </w:style>
  <w:style w:type="character" w:customStyle="1" w:styleId="WWCharLFO13LVL1">
    <w:name w:val="WW_CharLFO13LVL1"/>
    <w:qFormat/>
    <w:rPr>
      <w:rFonts w:ascii="OpenSymbol" w:eastAsia="OpenSymbol" w:hAnsi="OpenSymbol" w:cs="OpenSymbol"/>
    </w:rPr>
  </w:style>
  <w:style w:type="character" w:customStyle="1" w:styleId="WWCharLFO13LVL2">
    <w:name w:val="WW_CharLFO13LVL2"/>
    <w:qFormat/>
    <w:rPr>
      <w:rFonts w:ascii="OpenSymbol" w:eastAsia="OpenSymbol" w:hAnsi="OpenSymbol" w:cs="OpenSymbol"/>
    </w:rPr>
  </w:style>
  <w:style w:type="character" w:customStyle="1" w:styleId="WWCharLFO13LVL3">
    <w:name w:val="WW_CharLFO13LVL3"/>
    <w:qFormat/>
    <w:rPr>
      <w:rFonts w:ascii="OpenSymbol" w:eastAsia="OpenSymbol" w:hAnsi="OpenSymbol" w:cs="OpenSymbol"/>
    </w:rPr>
  </w:style>
  <w:style w:type="character" w:customStyle="1" w:styleId="WWCharLFO13LVL4">
    <w:name w:val="WW_CharLFO13LVL4"/>
    <w:qFormat/>
    <w:rPr>
      <w:rFonts w:ascii="OpenSymbol" w:eastAsia="OpenSymbol" w:hAnsi="OpenSymbol" w:cs="OpenSymbol"/>
    </w:rPr>
  </w:style>
  <w:style w:type="character" w:customStyle="1" w:styleId="WWCharLFO13LVL5">
    <w:name w:val="WW_CharLFO13LVL5"/>
    <w:qFormat/>
    <w:rPr>
      <w:rFonts w:ascii="OpenSymbol" w:eastAsia="OpenSymbol" w:hAnsi="OpenSymbol" w:cs="OpenSymbol"/>
    </w:rPr>
  </w:style>
  <w:style w:type="character" w:customStyle="1" w:styleId="WWCharLFO13LVL6">
    <w:name w:val="WW_CharLFO13LVL6"/>
    <w:qFormat/>
    <w:rPr>
      <w:rFonts w:ascii="OpenSymbol" w:eastAsia="OpenSymbol" w:hAnsi="OpenSymbol" w:cs="OpenSymbol"/>
    </w:rPr>
  </w:style>
  <w:style w:type="character" w:customStyle="1" w:styleId="WWCharLFO13LVL7">
    <w:name w:val="WW_CharLFO13LVL7"/>
    <w:qFormat/>
    <w:rPr>
      <w:rFonts w:ascii="OpenSymbol" w:eastAsia="OpenSymbol" w:hAnsi="OpenSymbol" w:cs="OpenSymbol"/>
    </w:rPr>
  </w:style>
  <w:style w:type="character" w:customStyle="1" w:styleId="WWCharLFO13LVL8">
    <w:name w:val="WW_CharLFO13LVL8"/>
    <w:qFormat/>
    <w:rPr>
      <w:rFonts w:ascii="OpenSymbol" w:eastAsia="OpenSymbol" w:hAnsi="OpenSymbol" w:cs="OpenSymbol"/>
    </w:rPr>
  </w:style>
  <w:style w:type="character" w:customStyle="1" w:styleId="WWCharLFO13LVL9">
    <w:name w:val="WW_CharLFO13LVL9"/>
    <w:qFormat/>
    <w:rPr>
      <w:rFonts w:ascii="OpenSymbol" w:eastAsia="OpenSymbol" w:hAnsi="OpenSymbol" w:cs="OpenSymbol"/>
    </w:rPr>
  </w:style>
  <w:style w:type="character" w:customStyle="1" w:styleId="TextedebullesCar">
    <w:name w:val="Texte de bulles Car"/>
    <w:qFormat/>
    <w:rPr>
      <w:rFonts w:ascii="Segoe UI" w:eastAsia="Calibri" w:hAnsi="Segoe UI" w:cs="Segoe UI"/>
      <w:sz w:val="18"/>
      <w:szCs w:val="18"/>
      <w:lang w:eastAsia="zh-CN"/>
    </w:rPr>
  </w:style>
  <w:style w:type="character" w:customStyle="1" w:styleId="NotedebasdepageCar">
    <w:name w:val="Note de bas de page Car"/>
    <w:basedOn w:val="Policepardfaut2"/>
    <w:qFormat/>
  </w:style>
  <w:style w:type="character" w:customStyle="1" w:styleId="Caractresdenotedebasdepage">
    <w:name w:val="Caractères de note de bas de page"/>
    <w:qFormat/>
    <w:rPr>
      <w:vertAlign w:val="superscript"/>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Marquedecommentaire2">
    <w:name w:val="Marque de commentaire2"/>
    <w:qFormat/>
    <w:rPr>
      <w:sz w:val="16"/>
      <w:szCs w:val="16"/>
    </w:rPr>
  </w:style>
  <w:style w:type="character" w:customStyle="1" w:styleId="CommentaireCar">
    <w:name w:val="Commentaire Car"/>
    <w:qFormat/>
    <w:rPr>
      <w:rFonts w:ascii="Calibri" w:eastAsia="Calibri" w:hAnsi="Calibri" w:cs="Calibri"/>
      <w:lang w:eastAsia="zh-CN"/>
    </w:rPr>
  </w:style>
  <w:style w:type="character" w:customStyle="1" w:styleId="ObjetducommentaireCar">
    <w:name w:val="Objet du commentaire Car"/>
    <w:qFormat/>
    <w:rPr>
      <w:rFonts w:ascii="Calibri" w:eastAsia="Calibri" w:hAnsi="Calibri" w:cs="Calibri"/>
      <w:b/>
      <w:bCs/>
      <w:lang w:eastAsia="zh-CN"/>
    </w:rPr>
  </w:style>
  <w:style w:type="character" w:styleId="Appelnotedebasdep">
    <w:name w:val="footnote reference"/>
    <w:rPr>
      <w:vertAlign w:val="superscript"/>
    </w:rPr>
  </w:style>
  <w:style w:type="character" w:customStyle="1" w:styleId="FootnoteCharacters">
    <w:name w:val="Footnote Characters"/>
    <w:qFormat/>
    <w:rPr>
      <w:vertAlign w:val="superscript"/>
    </w:rPr>
  </w:style>
  <w:style w:type="character" w:customStyle="1" w:styleId="LineNumbering">
    <w:name w:val="Line Numbering"/>
    <w:qFormat/>
  </w:style>
  <w:style w:type="character" w:styleId="Appeldenotedefin">
    <w:name w:val="endnote reference"/>
    <w:rPr>
      <w:vertAlign w:val="superscript"/>
    </w:rPr>
  </w:style>
  <w:style w:type="character" w:customStyle="1" w:styleId="EndnoteCharacters">
    <w:name w:val="Endnote Characters"/>
    <w:qFormat/>
    <w:rPr>
      <w:vertAlign w:val="superscript"/>
    </w:rPr>
  </w:style>
  <w:style w:type="character" w:customStyle="1" w:styleId="Style1Car">
    <w:name w:val="Style1 Car"/>
    <w:link w:val="Style1"/>
    <w:qFormat/>
    <w:rsid w:val="004F6B7D"/>
    <w:rPr>
      <w:rFonts w:ascii="Calibri" w:eastAsia="Calibri" w:hAnsi="Calibri" w:cs="Calibri"/>
      <w:b/>
      <w:bCs/>
      <w:sz w:val="22"/>
      <w:szCs w:val="22"/>
      <w:lang w:eastAsia="zh-CN"/>
    </w:rPr>
  </w:style>
  <w:style w:type="character" w:customStyle="1" w:styleId="Titre3Car">
    <w:name w:val="Titre 3 Car"/>
    <w:link w:val="Titre3"/>
    <w:uiPriority w:val="9"/>
    <w:qFormat/>
    <w:rsid w:val="003B14A7"/>
    <w:rPr>
      <w:rFonts w:ascii="Arial" w:hAnsi="Arial"/>
      <w:b/>
      <w:bCs/>
      <w:i/>
      <w:sz w:val="22"/>
      <w:szCs w:val="26"/>
      <w:lang w:eastAsia="zh-CN"/>
    </w:rPr>
  </w:style>
  <w:style w:type="character" w:customStyle="1" w:styleId="Style2Car">
    <w:name w:val="Style2 Car"/>
    <w:link w:val="Style2"/>
    <w:qFormat/>
    <w:rsid w:val="00DE6A14"/>
    <w:rPr>
      <w:rFonts w:ascii="Arial" w:hAnsi="Arial"/>
      <w:b/>
      <w:bCs/>
      <w:i/>
      <w:sz w:val="22"/>
      <w:szCs w:val="22"/>
    </w:rPr>
  </w:style>
  <w:style w:type="character" w:customStyle="1" w:styleId="En-tteCar">
    <w:name w:val="En-tête Car"/>
    <w:link w:val="En-tte"/>
    <w:uiPriority w:val="99"/>
    <w:qFormat/>
    <w:rsid w:val="002B3F0A"/>
    <w:rPr>
      <w:rFonts w:ascii="Calibri" w:eastAsia="Calibri" w:hAnsi="Calibri" w:cs="Calibri"/>
      <w:sz w:val="22"/>
      <w:szCs w:val="22"/>
      <w:lang w:eastAsia="zh-CN"/>
    </w:rPr>
  </w:style>
  <w:style w:type="character" w:customStyle="1" w:styleId="PieddepageCar">
    <w:name w:val="Pied de page Car"/>
    <w:link w:val="Pieddepage"/>
    <w:uiPriority w:val="99"/>
    <w:qFormat/>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qFormat/>
    <w:rsid w:val="00293578"/>
    <w:rPr>
      <w:sz w:val="16"/>
      <w:szCs w:val="16"/>
    </w:rPr>
  </w:style>
  <w:style w:type="character" w:customStyle="1" w:styleId="CommentaireCar1">
    <w:name w:val="Commentaire Car1"/>
    <w:basedOn w:val="Policepardfaut"/>
    <w:link w:val="Commentaire"/>
    <w:uiPriority w:val="99"/>
    <w:semiHidden/>
    <w:qFormat/>
    <w:rsid w:val="00293578"/>
    <w:rPr>
      <w:rFonts w:ascii="Calibri" w:eastAsia="Calibri" w:hAnsi="Calibri" w:cs="Calibri"/>
      <w:lang w:eastAsia="zh-CN"/>
    </w:rPr>
  </w:style>
  <w:style w:type="character" w:styleId="Lienhypertexte">
    <w:name w:val="Hyperlink"/>
    <w:rPr>
      <w:color w:val="000080"/>
      <w:u w:val="single"/>
    </w:rPr>
  </w:style>
  <w:style w:type="character" w:customStyle="1" w:styleId="Sautdindex">
    <w:name w:val="Saut d'index"/>
    <w:qFormat/>
  </w:style>
  <w:style w:type="paragraph" w:styleId="Titre">
    <w:name w:val="Title"/>
    <w:basedOn w:val="Normal"/>
    <w:next w:val="Corpsdetexte"/>
    <w:qFormat/>
    <w:pPr>
      <w:keepNext/>
      <w:spacing w:before="240" w:after="120"/>
    </w:pPr>
    <w:rPr>
      <w:rFonts w:ascii="Marianne" w:eastAsia="Microsoft YaHei" w:hAnsi="Marianne"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Titre30">
    <w:name w:val="Titre3"/>
    <w:basedOn w:val="Normal"/>
    <w:next w:val="Corpsdetexte"/>
    <w:qFormat/>
    <w:pPr>
      <w:keepNext/>
      <w:spacing w:before="240" w:after="120"/>
    </w:pPr>
    <w:rPr>
      <w:rFonts w:ascii="Liberation Sans" w:eastAsia="Microsoft YaHei" w:hAnsi="Liberation Sans" w:cs="Arial"/>
      <w:sz w:val="28"/>
      <w:szCs w:val="28"/>
    </w:rPr>
  </w:style>
  <w:style w:type="paragraph" w:customStyle="1" w:styleId="LO-Normal">
    <w:name w:val="LO-Normal"/>
    <w:qFormat/>
    <w:pPr>
      <w:widowControl w:val="0"/>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qFormat/>
    <w:pPr>
      <w:keepNext/>
      <w:spacing w:before="240" w:after="120"/>
    </w:pPr>
    <w:rPr>
      <w:rFonts w:ascii="Liberation Sans" w:eastAsia="Microsoft YaHei" w:hAnsi="Liberation Sans" w:cs="Mangal"/>
      <w:sz w:val="28"/>
      <w:szCs w:val="28"/>
    </w:rPr>
  </w:style>
  <w:style w:type="paragraph" w:customStyle="1" w:styleId="Livre">
    <w:name w:val="Livre"/>
    <w:basedOn w:val="Normal"/>
    <w:qFormat/>
    <w:rPr>
      <w:b/>
    </w:rPr>
  </w:style>
  <w:style w:type="paragraph" w:customStyle="1" w:styleId="oj-doc-ti">
    <w:name w:val="oj-doc-ti"/>
    <w:basedOn w:val="Normal"/>
    <w:qFormat/>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qFormat/>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qFormat/>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qFormat/>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qFormat/>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qFormat/>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Textedebulles">
    <w:name w:val="Balloon Text"/>
    <w:basedOn w:val="Normal"/>
    <w:qFormat/>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qFormat/>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qFormat/>
    <w:rPr>
      <w:sz w:val="20"/>
      <w:szCs w:val="20"/>
    </w:rPr>
  </w:style>
  <w:style w:type="paragraph" w:styleId="Objetducommentaire">
    <w:name w:val="annotation subject"/>
    <w:basedOn w:val="Commentaire1"/>
    <w:next w:val="Commentaire1"/>
    <w:qFormat/>
    <w:rPr>
      <w:b/>
      <w:bCs/>
    </w:rPr>
  </w:style>
  <w:style w:type="paragraph" w:styleId="Rvision">
    <w:name w:val="Revision"/>
    <w:uiPriority w:val="99"/>
    <w:semiHidden/>
    <w:qFormat/>
    <w:rsid w:val="00175D42"/>
    <w:rPr>
      <w:rFonts w:ascii="Calibri" w:eastAsia="Calibri" w:hAnsi="Calibri" w:cs="Calibri"/>
      <w:sz w:val="22"/>
      <w:szCs w:val="22"/>
      <w:lang w:eastAsia="zh-CN"/>
    </w:rPr>
  </w:style>
  <w:style w:type="paragraph" w:customStyle="1" w:styleId="Style1">
    <w:name w:val="Style1"/>
    <w:basedOn w:val="Normal"/>
    <w:link w:val="Style1Car"/>
    <w:qFormat/>
    <w:rsid w:val="004F6B7D"/>
    <w:rPr>
      <w:b/>
      <w:bCs/>
    </w:rPr>
  </w:style>
  <w:style w:type="paragraph" w:styleId="TM1">
    <w:name w:val="toc 1"/>
    <w:basedOn w:val="Normal"/>
    <w:next w:val="Normal"/>
    <w:autoRedefine/>
    <w:uiPriority w:val="39"/>
    <w:unhideWhenUsed/>
    <w:rsid w:val="004F6B7D"/>
    <w:pPr>
      <w:spacing w:before="120" w:after="120"/>
      <w:jc w:val="left"/>
    </w:pPr>
    <w:rPr>
      <w:rFonts w:asciiTheme="minorHAnsi" w:hAnsiTheme="minorHAnsi" w:cstheme="minorHAnsi"/>
      <w:b/>
      <w:bCs/>
      <w:caps/>
      <w:sz w:val="20"/>
      <w:szCs w:val="20"/>
    </w:rPr>
  </w:style>
  <w:style w:type="paragraph" w:customStyle="1" w:styleId="Style2">
    <w:name w:val="Style2"/>
    <w:basedOn w:val="Normal"/>
    <w:link w:val="Style2Car"/>
    <w:qFormat/>
    <w:rsid w:val="00DE6A14"/>
    <w:pPr>
      <w:spacing w:before="280" w:after="280" w:line="240" w:lineRule="auto"/>
      <w:ind w:firstLine="709"/>
    </w:pPr>
    <w:rPr>
      <w:rFonts w:eastAsia="Times New Roman" w:cs="Times New Roman"/>
      <w:b/>
      <w:bCs/>
      <w:i/>
      <w:lang w:eastAsia="fr-FR"/>
    </w:rPr>
  </w:style>
  <w:style w:type="paragraph" w:styleId="TM2">
    <w:name w:val="toc 2"/>
    <w:basedOn w:val="Normal"/>
    <w:next w:val="Normal"/>
    <w:autoRedefine/>
    <w:uiPriority w:val="39"/>
    <w:unhideWhenUsed/>
    <w:rsid w:val="003B14A7"/>
    <w:pPr>
      <w:spacing w:after="0"/>
      <w:ind w:left="220"/>
      <w:jc w:val="left"/>
    </w:pPr>
    <w:rPr>
      <w:rFonts w:asciiTheme="minorHAnsi" w:hAnsiTheme="minorHAnsi" w:cstheme="minorHAnsi"/>
      <w:smallCaps/>
      <w:sz w:val="20"/>
      <w:szCs w:val="20"/>
    </w:rPr>
  </w:style>
  <w:style w:type="paragraph" w:customStyle="1" w:styleId="HeaderandFooter">
    <w:name w:val="Header and Footer"/>
    <w:basedOn w:val="Normal"/>
    <w:qFormat/>
  </w:style>
  <w:style w:type="paragraph" w:styleId="En-tte">
    <w:name w:val="header"/>
    <w:basedOn w:val="Normal"/>
    <w:link w:val="En-tteCar"/>
    <w:uiPriority w:val="99"/>
    <w:unhideWhenUsed/>
    <w:rsid w:val="002B3F0A"/>
    <w:pPr>
      <w:tabs>
        <w:tab w:val="center" w:pos="4536"/>
        <w:tab w:val="right" w:pos="9072"/>
      </w:tabs>
    </w:pPr>
  </w:style>
  <w:style w:type="paragraph" w:styleId="Pieddepage">
    <w:name w:val="footer"/>
    <w:basedOn w:val="Normal"/>
    <w:link w:val="PieddepageCar"/>
    <w:uiPriority w:val="99"/>
    <w:unhideWhenUsed/>
    <w:rsid w:val="002B3F0A"/>
    <w:pPr>
      <w:tabs>
        <w:tab w:val="center" w:pos="4536"/>
        <w:tab w:val="right" w:pos="9072"/>
      </w:tabs>
    </w:p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paragraph" w:styleId="Titreindex">
    <w:name w:val="index heading"/>
    <w:basedOn w:val="Titre"/>
  </w:style>
  <w:style w:type="paragraph" w:styleId="En-ttedetabledesmatires">
    <w:name w:val="TOC Heading"/>
    <w:basedOn w:val="Titre1"/>
    <w:next w:val="Normal"/>
    <w:uiPriority w:val="39"/>
    <w:unhideWhenUsed/>
    <w:qFormat/>
    <w:rsid w:val="00EB01DE"/>
    <w:pPr>
      <w:widowControl/>
      <w:numPr>
        <w:numId w:val="0"/>
      </w:numPr>
      <w:pBdr>
        <w:top w:val="nil"/>
        <w:bottom w:val="nil"/>
      </w:pBdr>
      <w:suppressAutoHyphens w:val="0"/>
      <w:spacing w:after="0" w:line="259" w:lineRule="auto"/>
      <w:ind w:left="360" w:hanging="360"/>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844BA"/>
    <w:pPr>
      <w:spacing w:after="0"/>
      <w:ind w:left="440"/>
      <w:jc w:val="left"/>
    </w:pPr>
    <w:rPr>
      <w:rFonts w:asciiTheme="minorHAnsi" w:hAnsiTheme="minorHAnsi" w:cstheme="minorHAnsi"/>
      <w:i/>
      <w:iCs/>
      <w:sz w:val="20"/>
      <w:szCs w:val="20"/>
    </w:rPr>
  </w:style>
  <w:style w:type="paragraph" w:styleId="Paragraphedeliste">
    <w:name w:val="List Paragraph"/>
    <w:basedOn w:val="Normal"/>
    <w:uiPriority w:val="34"/>
    <w:qFormat/>
    <w:rsid w:val="00FF25C7"/>
    <w:pPr>
      <w:ind w:left="720"/>
      <w:contextualSpacing/>
    </w:pPr>
  </w:style>
  <w:style w:type="paragraph" w:styleId="TM4">
    <w:name w:val="toc 4"/>
    <w:basedOn w:val="Normal"/>
    <w:next w:val="Normal"/>
    <w:autoRedefine/>
    <w:uiPriority w:val="39"/>
    <w:unhideWhenUsed/>
    <w:rsid w:val="000C523F"/>
    <w:pPr>
      <w:spacing w:after="0"/>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0C523F"/>
    <w:pPr>
      <w:spacing w:after="0"/>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0C523F"/>
    <w:pPr>
      <w:spacing w:after="0"/>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0C523F"/>
    <w:pPr>
      <w:spacing w:after="0"/>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0C523F"/>
    <w:pPr>
      <w:spacing w:after="0"/>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0C523F"/>
    <w:pPr>
      <w:spacing w:after="0"/>
      <w:ind w:left="1760"/>
      <w:jc w:val="left"/>
    </w:pPr>
    <w:rPr>
      <w:rFonts w:asciiTheme="minorHAnsi" w:hAnsiTheme="minorHAnsi" w:cstheme="minorHAnsi"/>
      <w:sz w:val="18"/>
      <w:szCs w:val="18"/>
    </w:rPr>
  </w:style>
  <w:style w:type="numbering" w:customStyle="1" w:styleId="Pasdeliste">
    <w:name w:val="Pas de liste"/>
    <w:uiPriority w:val="99"/>
    <w:semiHidden/>
    <w:unhideWhenUsed/>
    <w:qFormat/>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05A58-8187-4B31-A5E5-A8CB6AE1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5735</Words>
  <Characters>31544</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37205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FAUCHEUR Clara</dc:creator>
  <dc:description/>
  <cp:lastModifiedBy>LE FAUCHEUR Clara</cp:lastModifiedBy>
  <cp:revision>8</cp:revision>
  <dcterms:created xsi:type="dcterms:W3CDTF">2025-06-16T14:53:00Z</dcterms:created>
  <dcterms:modified xsi:type="dcterms:W3CDTF">2025-12-08T15:55:00Z</dcterms:modified>
  <dc:language>fr-FR</dc:language>
</cp:coreProperties>
</file>